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3D2185" w14:textId="77777777" w:rsidR="003A3646" w:rsidRPr="006E1CD3" w:rsidRDefault="005A2B48">
      <w:pPr>
        <w:pStyle w:val="Ttulo2"/>
        <w:jc w:val="center"/>
        <w:rPr>
          <w:rFonts w:ascii="Arial" w:eastAsia="Arial" w:hAnsi="Arial" w:cs="Arial"/>
          <w:b/>
          <w:bCs/>
          <w:color w:val="auto"/>
          <w:sz w:val="22"/>
          <w:szCs w:val="22"/>
          <w:highlight w:val="white"/>
        </w:rPr>
      </w:pPr>
      <w:bookmarkStart w:id="0" w:name="_heading=h.63u9xzmkqzvs" w:colFirst="0" w:colLast="0"/>
      <w:bookmarkEnd w:id="0"/>
      <w:r w:rsidRPr="006E1CD3">
        <w:rPr>
          <w:rFonts w:ascii="Arial" w:eastAsia="Arial" w:hAnsi="Arial" w:cs="Arial"/>
          <w:b/>
          <w:bCs/>
          <w:color w:val="auto"/>
          <w:sz w:val="22"/>
          <w:szCs w:val="22"/>
          <w:highlight w:val="white"/>
        </w:rPr>
        <w:t>LA DIRECCIÓN DE INVESTIGACIONES Y CONTROL DE VIVIENDA DE LA SUBSECRETARÍA DE INSPECCIÓN, VIGILANCIA Y CONTROL DE VIVIENDA DE LA SECRETARÍA DISTRITAL DEL HÁBITAT</w:t>
      </w:r>
    </w:p>
    <w:p w14:paraId="693D2186" w14:textId="77777777" w:rsidR="003A3646" w:rsidRPr="006E1CD3" w:rsidRDefault="003A3646">
      <w:pPr>
        <w:jc w:val="center"/>
        <w:rPr>
          <w:rFonts w:ascii="Arial" w:eastAsia="Arial" w:hAnsi="Arial" w:cs="Arial"/>
          <w:sz w:val="22"/>
          <w:szCs w:val="22"/>
          <w:highlight w:val="white"/>
        </w:rPr>
      </w:pPr>
      <w:bookmarkStart w:id="1" w:name="_heading=h.tziib8mju948" w:colFirst="0" w:colLast="0"/>
      <w:bookmarkEnd w:id="1"/>
    </w:p>
    <w:p w14:paraId="693D2187" w14:textId="77777777" w:rsidR="003A3646" w:rsidRPr="006E1CD3" w:rsidRDefault="005A2B48">
      <w:pPr>
        <w:jc w:val="center"/>
        <w:rPr>
          <w:rFonts w:ascii="Arial" w:eastAsia="Arial" w:hAnsi="Arial" w:cs="Arial"/>
          <w:sz w:val="22"/>
          <w:szCs w:val="22"/>
          <w:highlight w:val="white"/>
        </w:rPr>
      </w:pPr>
      <w:r w:rsidRPr="006E1CD3">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693D2188" w14:textId="77777777" w:rsidR="003A3646" w:rsidRPr="006E1CD3" w:rsidRDefault="003A3646">
      <w:pPr>
        <w:jc w:val="center"/>
        <w:rPr>
          <w:rFonts w:ascii="Arial" w:eastAsia="Arial" w:hAnsi="Arial" w:cs="Arial"/>
          <w:sz w:val="22"/>
          <w:szCs w:val="22"/>
          <w:highlight w:val="white"/>
        </w:rPr>
      </w:pPr>
    </w:p>
    <w:p w14:paraId="693D2189" w14:textId="77777777" w:rsidR="003A3646" w:rsidRPr="006E1CD3" w:rsidRDefault="005A2B48">
      <w:pPr>
        <w:jc w:val="center"/>
        <w:rPr>
          <w:rFonts w:ascii="Arial" w:eastAsia="Arial" w:hAnsi="Arial" w:cs="Arial"/>
          <w:b/>
          <w:bCs/>
          <w:sz w:val="22"/>
          <w:szCs w:val="22"/>
          <w:highlight w:val="white"/>
        </w:rPr>
      </w:pPr>
      <w:r w:rsidRPr="006E1CD3">
        <w:rPr>
          <w:rFonts w:ascii="Arial" w:eastAsia="Arial" w:hAnsi="Arial" w:cs="Arial"/>
          <w:b/>
          <w:bCs/>
          <w:sz w:val="22"/>
          <w:szCs w:val="22"/>
          <w:highlight w:val="white"/>
        </w:rPr>
        <w:t>CONSIDERANDO:</w:t>
      </w:r>
    </w:p>
    <w:p w14:paraId="693D218A" w14:textId="77777777" w:rsidR="003A3646" w:rsidRPr="006E1CD3" w:rsidRDefault="003A3646">
      <w:pPr>
        <w:jc w:val="both"/>
        <w:rPr>
          <w:rFonts w:ascii="Arial" w:eastAsia="Arial" w:hAnsi="Arial" w:cs="Arial"/>
          <w:sz w:val="22"/>
          <w:szCs w:val="22"/>
        </w:rPr>
      </w:pPr>
      <w:bookmarkStart w:id="2" w:name="_heading=h.vmq5jlsylcjh" w:colFirst="0" w:colLast="0"/>
      <w:bookmarkEnd w:id="2"/>
    </w:p>
    <w:p w14:paraId="693D218B" w14:textId="1F154A53" w:rsidR="003A3646" w:rsidRPr="006E1CD3" w:rsidRDefault="005A2B48">
      <w:pPr>
        <w:widowControl w:val="0"/>
        <w:jc w:val="both"/>
        <w:rPr>
          <w:rFonts w:ascii="Arial" w:eastAsia="Arial" w:hAnsi="Arial" w:cs="Arial"/>
          <w:sz w:val="22"/>
          <w:szCs w:val="22"/>
        </w:rPr>
      </w:pPr>
      <w:r w:rsidRPr="006E1CD3">
        <w:rPr>
          <w:rFonts w:ascii="Arial" w:eastAsia="Arial" w:hAnsi="Arial" w:cs="Arial"/>
          <w:sz w:val="22"/>
          <w:szCs w:val="22"/>
        </w:rPr>
        <w:t>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asumió de oficio el conocimiento de la queja en razón al memorando interno con radicado No. 3-2017-23633 del 05 de abril de 2027 y lo contenido en el Acta de 26 de abril de 2017, por las presuntas irregularidades presentes en las áreas privadas del apartamento 132 Torre 10 del proyecto de vivienda AGRUPACIÓN RESIDENCIAL PRADERA DE SAN CARLOS - PROPIEDAD HORIZONTAL, ubicado en la Carrera 11</w:t>
      </w:r>
      <w:r w:rsidR="00FE38D3">
        <w:rPr>
          <w:rFonts w:ascii="Arial" w:eastAsia="Arial" w:hAnsi="Arial" w:cs="Arial"/>
          <w:sz w:val="22"/>
          <w:szCs w:val="22"/>
        </w:rPr>
        <w:t xml:space="preserve"> </w:t>
      </w:r>
      <w:r w:rsidRPr="006E1CD3">
        <w:rPr>
          <w:rFonts w:ascii="Arial" w:eastAsia="Arial" w:hAnsi="Arial" w:cs="Arial"/>
          <w:sz w:val="22"/>
          <w:szCs w:val="22"/>
        </w:rPr>
        <w:t xml:space="preserve">A No. 190-46 de esta ciudad, contra la sociedad enajenadora </w:t>
      </w:r>
      <w:r w:rsidR="00FE38D3" w:rsidRPr="006E1CD3">
        <w:rPr>
          <w:rFonts w:ascii="Arial" w:eastAsia="Arial" w:hAnsi="Arial" w:cs="Arial"/>
          <w:sz w:val="22"/>
          <w:szCs w:val="22"/>
        </w:rPr>
        <w:t xml:space="preserve">URBANIZADORA </w:t>
      </w:r>
      <w:r w:rsidR="00FE38D3">
        <w:rPr>
          <w:rFonts w:ascii="Arial" w:eastAsia="Arial" w:hAnsi="Arial" w:cs="Arial"/>
          <w:sz w:val="22"/>
          <w:szCs w:val="22"/>
        </w:rPr>
        <w:t xml:space="preserve">MARIN VALENCIA S.A. ahora </w:t>
      </w:r>
      <w:r w:rsidR="00FE38D3" w:rsidRPr="006E1CD3">
        <w:rPr>
          <w:rFonts w:ascii="Arial" w:eastAsia="Arial" w:hAnsi="Arial" w:cs="Arial"/>
          <w:sz w:val="22"/>
          <w:szCs w:val="22"/>
        </w:rPr>
        <w:t xml:space="preserve">MARVAL S.A.S </w:t>
      </w:r>
      <w:r w:rsidRPr="006E1CD3">
        <w:rPr>
          <w:rFonts w:ascii="Arial" w:eastAsia="Arial" w:hAnsi="Arial" w:cs="Arial"/>
          <w:sz w:val="22"/>
          <w:szCs w:val="22"/>
        </w:rPr>
        <w:t>URBANIZADORA MARVAL S.A.S, identificada con NIT 830.012.053-3, representada legalmente por el señor SERGIO MARÍN VALENCIA (o quien haga sus veces), actuación a la que le correspondió el radicado No. 3-2017-23633-134.</w:t>
      </w:r>
    </w:p>
    <w:p w14:paraId="693D218C" w14:textId="77777777" w:rsidR="003A3646" w:rsidRPr="006E1CD3" w:rsidRDefault="003A3646">
      <w:pPr>
        <w:widowControl w:val="0"/>
        <w:jc w:val="both"/>
        <w:rPr>
          <w:rFonts w:ascii="Arial" w:eastAsia="Arial" w:hAnsi="Arial" w:cs="Arial"/>
          <w:sz w:val="22"/>
          <w:szCs w:val="22"/>
        </w:rPr>
      </w:pPr>
    </w:p>
    <w:p w14:paraId="693D218D" w14:textId="0ED11BCF" w:rsidR="003A3646" w:rsidRPr="006E1CD3" w:rsidRDefault="005A2B48">
      <w:pPr>
        <w:widowControl w:val="0"/>
        <w:jc w:val="both"/>
        <w:rPr>
          <w:rFonts w:ascii="Arial" w:eastAsia="Arial" w:hAnsi="Arial" w:cs="Arial"/>
          <w:sz w:val="22"/>
          <w:szCs w:val="22"/>
        </w:rPr>
      </w:pPr>
      <w:r w:rsidRPr="006E1CD3">
        <w:rPr>
          <w:rFonts w:ascii="Arial" w:eastAsia="Arial" w:hAnsi="Arial" w:cs="Arial"/>
          <w:sz w:val="22"/>
          <w:szCs w:val="22"/>
        </w:rPr>
        <w:t>Que, una vez surtidas las actuaciones procesales pertinentes, esta Dirección mediante Resolución No. 2125 del 25 de septiembre de 2019, "</w:t>
      </w:r>
      <w:r w:rsidRPr="006E1CD3">
        <w:rPr>
          <w:rFonts w:ascii="Arial" w:eastAsia="Arial" w:hAnsi="Arial" w:cs="Arial"/>
          <w:i/>
          <w:iCs/>
          <w:sz w:val="22"/>
          <w:szCs w:val="22"/>
        </w:rPr>
        <w:t>Por la cual se impone una sanción y se imparte una orden</w:t>
      </w:r>
      <w:r w:rsidRPr="006E1CD3">
        <w:rPr>
          <w:rFonts w:ascii="Arial" w:eastAsia="Arial" w:hAnsi="Arial" w:cs="Arial"/>
          <w:sz w:val="22"/>
          <w:szCs w:val="22"/>
        </w:rPr>
        <w:t>", multó a la sociedad enajenadora URBANIZADORA MARVAL S.A.S, con NIT 830.012.053-3, representada legalmente por el señor SERGIO MARÍN VALENCIA (o quien haga sus veces)</w:t>
      </w:r>
      <w:r w:rsidRPr="006E1CD3">
        <w:rPr>
          <w:rFonts w:ascii="Arial" w:eastAsia="Arial" w:hAnsi="Arial" w:cs="Arial"/>
          <w:sz w:val="22"/>
          <w:szCs w:val="22"/>
          <w:highlight w:val="white"/>
        </w:rPr>
        <w:t>,</w:t>
      </w:r>
      <w:r w:rsidRPr="006E1CD3">
        <w:rPr>
          <w:rFonts w:ascii="Arial" w:eastAsia="Arial" w:hAnsi="Arial" w:cs="Arial"/>
          <w:sz w:val="22"/>
          <w:szCs w:val="22"/>
        </w:rPr>
        <w:t xml:space="preserve"> con la suma de TREINTA Y CUATRO MIL PESOS ($34.000.</w:t>
      </w:r>
      <w:r w:rsidRPr="006E1CD3">
        <w:rPr>
          <w:rFonts w:ascii="Arial" w:eastAsia="Arial" w:hAnsi="Arial" w:cs="Arial"/>
          <w:sz w:val="18"/>
          <w:szCs w:val="18"/>
        </w:rPr>
        <w:t>00</w:t>
      </w:r>
      <w:r w:rsidRPr="006E1CD3">
        <w:rPr>
          <w:rFonts w:ascii="Arial" w:eastAsia="Arial" w:hAnsi="Arial" w:cs="Arial"/>
          <w:sz w:val="22"/>
          <w:szCs w:val="22"/>
        </w:rPr>
        <w:t>) M/CTE, que indexados a la fecha corresponden a CINCO MILLONES NOVENTA Y SEIS MIL SETECIENTOS OCHENTA Y DOS PESOS ($5.096.782.</w:t>
      </w:r>
      <w:r w:rsidRPr="006E1CD3">
        <w:rPr>
          <w:rFonts w:ascii="Arial" w:eastAsia="Arial" w:hAnsi="Arial" w:cs="Arial"/>
          <w:sz w:val="18"/>
          <w:szCs w:val="18"/>
        </w:rPr>
        <w:t>00</w:t>
      </w:r>
      <w:r w:rsidRPr="006E1CD3">
        <w:rPr>
          <w:rFonts w:ascii="Arial" w:eastAsia="Arial" w:hAnsi="Arial" w:cs="Arial"/>
          <w:sz w:val="22"/>
          <w:szCs w:val="22"/>
        </w:rPr>
        <w:t>) M/CTE.</w:t>
      </w:r>
    </w:p>
    <w:p w14:paraId="693D218E" w14:textId="77777777" w:rsidR="003A3646" w:rsidRPr="006E1CD3" w:rsidRDefault="003A3646">
      <w:pPr>
        <w:widowControl w:val="0"/>
        <w:jc w:val="both"/>
        <w:rPr>
          <w:rFonts w:ascii="Arial" w:eastAsia="Arial" w:hAnsi="Arial" w:cs="Arial"/>
          <w:sz w:val="22"/>
          <w:szCs w:val="22"/>
        </w:rPr>
      </w:pPr>
    </w:p>
    <w:p w14:paraId="693D218F" w14:textId="77777777" w:rsidR="003A3646" w:rsidRPr="006E1CD3" w:rsidRDefault="005A2B48">
      <w:pPr>
        <w:widowControl w:val="0"/>
        <w:jc w:val="both"/>
        <w:rPr>
          <w:rFonts w:ascii="Arial" w:eastAsia="Arial" w:hAnsi="Arial" w:cs="Arial"/>
          <w:sz w:val="22"/>
          <w:szCs w:val="22"/>
        </w:rPr>
      </w:pPr>
      <w:bookmarkStart w:id="3" w:name="_heading=h.4m4q6b1tjgvg" w:colFirst="0" w:colLast="0"/>
      <w:bookmarkEnd w:id="3"/>
      <w:r w:rsidRPr="006E1CD3">
        <w:rPr>
          <w:rFonts w:ascii="Arial" w:eastAsia="Arial" w:hAnsi="Arial" w:cs="Arial"/>
          <w:sz w:val="22"/>
          <w:szCs w:val="22"/>
        </w:rPr>
        <w:t>Que, en los artículos segundo, tercero y cuarto de la Resolución No. 2125 del 25 de septiembre de 2019, “</w:t>
      </w:r>
      <w:r w:rsidRPr="006E1CD3">
        <w:rPr>
          <w:rFonts w:ascii="Arial" w:eastAsia="Arial" w:hAnsi="Arial" w:cs="Arial"/>
          <w:i/>
          <w:iCs/>
          <w:sz w:val="22"/>
          <w:szCs w:val="22"/>
        </w:rPr>
        <w:t>Por la cual se impone una sanción y se imparte una orden</w:t>
      </w:r>
      <w:r w:rsidRPr="006E1CD3">
        <w:rPr>
          <w:rFonts w:ascii="Arial" w:eastAsia="Arial" w:hAnsi="Arial" w:cs="Arial"/>
          <w:sz w:val="22"/>
          <w:szCs w:val="22"/>
        </w:rPr>
        <w:t xml:space="preserve">”, se estableció: </w:t>
      </w:r>
    </w:p>
    <w:p w14:paraId="693D2190" w14:textId="77777777" w:rsidR="003A3646" w:rsidRPr="006E1CD3" w:rsidRDefault="003A3646">
      <w:pPr>
        <w:widowControl w:val="0"/>
        <w:jc w:val="both"/>
        <w:rPr>
          <w:rFonts w:ascii="Arial" w:eastAsia="Arial" w:hAnsi="Arial" w:cs="Arial"/>
          <w:sz w:val="22"/>
          <w:szCs w:val="22"/>
        </w:rPr>
      </w:pPr>
      <w:bookmarkStart w:id="4" w:name="_heading=h.v3ixsxv8ivrg" w:colFirst="0" w:colLast="0"/>
      <w:bookmarkEnd w:id="4"/>
    </w:p>
    <w:p w14:paraId="693D2191" w14:textId="77777777" w:rsidR="003A3646" w:rsidRPr="006E1CD3" w:rsidRDefault="005A2B48">
      <w:pPr>
        <w:widowControl w:val="0"/>
        <w:ind w:left="720"/>
        <w:jc w:val="both"/>
        <w:rPr>
          <w:rFonts w:ascii="Arial" w:eastAsia="Arial" w:hAnsi="Arial" w:cs="Arial"/>
          <w:i/>
          <w:iCs/>
          <w:sz w:val="22"/>
          <w:szCs w:val="22"/>
        </w:rPr>
      </w:pPr>
      <w:bookmarkStart w:id="5" w:name="_heading=h.koudtdu7o7s" w:colFirst="0" w:colLast="0"/>
      <w:bookmarkEnd w:id="5"/>
      <w:r w:rsidRPr="006E1CD3">
        <w:rPr>
          <w:rFonts w:ascii="Arial" w:eastAsia="Arial" w:hAnsi="Arial" w:cs="Arial"/>
          <w:i/>
          <w:iCs/>
          <w:sz w:val="22"/>
          <w:szCs w:val="22"/>
        </w:rPr>
        <w:t>“</w:t>
      </w:r>
      <w:r w:rsidRPr="006E1CD3">
        <w:rPr>
          <w:rFonts w:ascii="Arial" w:eastAsia="Arial" w:hAnsi="Arial" w:cs="Arial"/>
          <w:b/>
          <w:bCs/>
          <w:i/>
          <w:iCs/>
          <w:sz w:val="22"/>
          <w:szCs w:val="22"/>
        </w:rPr>
        <w:t>ARTÍCULO SEGUNDO:</w:t>
      </w:r>
      <w:r w:rsidRPr="006E1CD3">
        <w:rPr>
          <w:rFonts w:ascii="Arial" w:eastAsia="Arial" w:hAnsi="Arial" w:cs="Arial"/>
          <w:i/>
          <w:iCs/>
          <w:sz w:val="22"/>
          <w:szCs w:val="22"/>
        </w:rPr>
        <w:t xml:space="preserve"> Requerir a la sociedad </w:t>
      </w:r>
      <w:r w:rsidRPr="006E1CD3">
        <w:rPr>
          <w:rFonts w:ascii="Arial" w:eastAsia="Arial" w:hAnsi="Arial" w:cs="Arial"/>
          <w:b/>
          <w:bCs/>
          <w:i/>
          <w:iCs/>
          <w:sz w:val="22"/>
          <w:szCs w:val="22"/>
        </w:rPr>
        <w:t>URBANIZADORA MARÍN VALENCIA S.A</w:t>
      </w:r>
      <w:r w:rsidRPr="006E1CD3">
        <w:rPr>
          <w:rFonts w:ascii="Arial" w:eastAsia="Arial" w:hAnsi="Arial" w:cs="Arial"/>
          <w:i/>
          <w:iCs/>
          <w:sz w:val="22"/>
          <w:szCs w:val="22"/>
        </w:rPr>
        <w:t xml:space="preserve">, con NIT </w:t>
      </w:r>
      <w:r w:rsidRPr="006E1CD3">
        <w:rPr>
          <w:rFonts w:ascii="Arial" w:eastAsia="Arial" w:hAnsi="Arial" w:cs="Arial"/>
          <w:b/>
          <w:bCs/>
          <w:i/>
          <w:iCs/>
          <w:sz w:val="22"/>
          <w:szCs w:val="22"/>
        </w:rPr>
        <w:t>830.012.053-3</w:t>
      </w:r>
      <w:r w:rsidRPr="006E1CD3">
        <w:rPr>
          <w:rFonts w:ascii="Arial" w:eastAsia="Arial" w:hAnsi="Arial" w:cs="Arial"/>
          <w:i/>
          <w:iCs/>
          <w:sz w:val="22"/>
          <w:szCs w:val="22"/>
        </w:rPr>
        <w:t xml:space="preserve">, representada legalmente por el señor </w:t>
      </w:r>
      <w:r w:rsidRPr="006E1CD3">
        <w:rPr>
          <w:rFonts w:ascii="Arial" w:eastAsia="Arial" w:hAnsi="Arial" w:cs="Arial"/>
          <w:b/>
          <w:bCs/>
          <w:i/>
          <w:iCs/>
          <w:sz w:val="22"/>
          <w:szCs w:val="22"/>
        </w:rPr>
        <w:t>RAFAEL AUGUSTO MARÍN VALENCIA</w:t>
      </w:r>
      <w:r w:rsidRPr="006E1CD3">
        <w:rPr>
          <w:rFonts w:ascii="Arial" w:eastAsia="Arial" w:hAnsi="Arial" w:cs="Arial"/>
          <w:i/>
          <w:iCs/>
          <w:sz w:val="22"/>
          <w:szCs w:val="22"/>
        </w:rPr>
        <w:t xml:space="preserve"> (o quien haga sus veces), para que dentro de </w:t>
      </w:r>
      <w:r w:rsidRPr="006E1CD3">
        <w:rPr>
          <w:rFonts w:ascii="Arial" w:eastAsia="Arial" w:hAnsi="Arial" w:cs="Arial"/>
          <w:b/>
          <w:bCs/>
          <w:i/>
          <w:iCs/>
          <w:sz w:val="22"/>
          <w:szCs w:val="22"/>
        </w:rPr>
        <w:t>los TRES (3) meses</w:t>
      </w:r>
      <w:r w:rsidRPr="006E1CD3">
        <w:rPr>
          <w:rFonts w:ascii="Arial" w:eastAsia="Arial" w:hAnsi="Arial" w:cs="Arial"/>
          <w:i/>
          <w:iCs/>
          <w:sz w:val="22"/>
          <w:szCs w:val="22"/>
        </w:rPr>
        <w:t xml:space="preserve"> calendario contados a partir del vencimiento del término dispuesto en el artículo segundo de la Resolución No. 830 del 11 de junio de 2019, proferida dentro del expediente 3-2017-23633-1 (zonas comunes), se acoja a la normatividad infringida, para lo cual deberá realizar los trabajos tendientes a </w:t>
      </w:r>
      <w:r w:rsidRPr="006E1CD3">
        <w:rPr>
          <w:rFonts w:ascii="Arial" w:eastAsia="Arial" w:hAnsi="Arial" w:cs="Arial"/>
          <w:i/>
          <w:iCs/>
          <w:sz w:val="22"/>
          <w:szCs w:val="22"/>
        </w:rPr>
        <w:lastRenderedPageBreak/>
        <w:t xml:space="preserve">solucionar en forma definitiva los hechos que afectan las áreas privadas del apartamento 132 de la torre 10 del proyecto de vivienda </w:t>
      </w:r>
      <w:r w:rsidRPr="006E1CD3">
        <w:rPr>
          <w:rFonts w:ascii="Arial" w:eastAsia="Arial" w:hAnsi="Arial" w:cs="Arial"/>
          <w:b/>
          <w:bCs/>
          <w:i/>
          <w:iCs/>
          <w:sz w:val="22"/>
          <w:szCs w:val="22"/>
        </w:rPr>
        <w:t>AGRUPACIÓN RESIDENCIAL PRADERA DE SAN CARLOS - PROPIEDAD HORIZONTAL</w:t>
      </w:r>
      <w:r w:rsidRPr="006E1CD3">
        <w:rPr>
          <w:rFonts w:ascii="Arial" w:eastAsia="Arial" w:hAnsi="Arial" w:cs="Arial"/>
          <w:i/>
          <w:iCs/>
          <w:sz w:val="22"/>
          <w:szCs w:val="22"/>
        </w:rPr>
        <w:t>, consistentes en “</w:t>
      </w:r>
      <w:r w:rsidRPr="006E1CD3">
        <w:rPr>
          <w:rFonts w:ascii="Arial" w:eastAsia="Arial" w:hAnsi="Arial" w:cs="Arial"/>
          <w:b/>
          <w:bCs/>
          <w:i/>
          <w:iCs/>
          <w:sz w:val="22"/>
          <w:szCs w:val="22"/>
        </w:rPr>
        <w:t>1. Desnivel de piso, 2. Resorte puerta de baño, y 5. Fisura en muro baño</w:t>
      </w:r>
      <w:r w:rsidRPr="006E1CD3">
        <w:rPr>
          <w:rFonts w:ascii="Arial" w:eastAsia="Arial" w:hAnsi="Arial" w:cs="Arial"/>
          <w:i/>
          <w:iCs/>
          <w:sz w:val="22"/>
          <w:szCs w:val="22"/>
        </w:rPr>
        <w:t>", ya que constituyen deficiencias constructivas calificadas como afectaciones gravísimas, conforme se evidencia en el Informe de Verificación de Hechos No. 17-424 del 27 de junio del 2017 (folios 7 a 8), y en el concepto técnico No. 19-848 del 14 de agosto del 2019 (folio 142). Lo anterior, en el evento de que dichos hechos no hayan sido intervenidos al momento de la expedición de la presente Resolución.</w:t>
      </w:r>
    </w:p>
    <w:p w14:paraId="693D2192" w14:textId="77777777" w:rsidR="003A3646" w:rsidRPr="006E1CD3" w:rsidRDefault="003A3646">
      <w:pPr>
        <w:widowControl w:val="0"/>
        <w:ind w:left="720"/>
        <w:jc w:val="both"/>
        <w:rPr>
          <w:rFonts w:ascii="Arial" w:eastAsia="Arial" w:hAnsi="Arial" w:cs="Arial"/>
          <w:i/>
          <w:iCs/>
          <w:sz w:val="22"/>
          <w:szCs w:val="22"/>
        </w:rPr>
      </w:pPr>
      <w:bookmarkStart w:id="6" w:name="_heading=h.g0zj8idddd19" w:colFirst="0" w:colLast="0"/>
      <w:bookmarkEnd w:id="6"/>
    </w:p>
    <w:p w14:paraId="693D2193" w14:textId="77777777" w:rsidR="003A3646" w:rsidRPr="006E1CD3" w:rsidRDefault="005A2B48">
      <w:pPr>
        <w:widowControl w:val="0"/>
        <w:ind w:left="720"/>
        <w:jc w:val="both"/>
        <w:rPr>
          <w:rFonts w:ascii="Arial" w:eastAsia="Arial" w:hAnsi="Arial" w:cs="Arial"/>
          <w:i/>
          <w:iCs/>
          <w:sz w:val="22"/>
          <w:szCs w:val="22"/>
        </w:rPr>
      </w:pPr>
      <w:bookmarkStart w:id="7" w:name="_heading=h.ggrmcxp2wzrw" w:colFirst="0" w:colLast="0"/>
      <w:bookmarkEnd w:id="7"/>
      <w:r w:rsidRPr="006E1CD3">
        <w:rPr>
          <w:rFonts w:ascii="Arial" w:eastAsia="Arial" w:hAnsi="Arial" w:cs="Arial"/>
          <w:b/>
          <w:bCs/>
          <w:i/>
          <w:iCs/>
          <w:sz w:val="22"/>
          <w:szCs w:val="22"/>
        </w:rPr>
        <w:t>ARTÍCULO TERCERO</w:t>
      </w:r>
      <w:r w:rsidRPr="006E1CD3">
        <w:rPr>
          <w:rFonts w:ascii="Arial" w:eastAsia="Arial" w:hAnsi="Arial" w:cs="Arial"/>
          <w:i/>
          <w:iCs/>
          <w:sz w:val="22"/>
          <w:szCs w:val="22"/>
        </w:rPr>
        <w:t xml:space="preserve">: Ordenar a la sociedad </w:t>
      </w:r>
      <w:r w:rsidRPr="006E1CD3">
        <w:rPr>
          <w:rFonts w:ascii="Arial" w:eastAsia="Arial" w:hAnsi="Arial" w:cs="Arial"/>
          <w:b/>
          <w:bCs/>
          <w:i/>
          <w:iCs/>
          <w:sz w:val="22"/>
          <w:szCs w:val="22"/>
        </w:rPr>
        <w:t>URBANIZADORA MARÍN VALENCIA S.A.</w:t>
      </w:r>
      <w:r w:rsidRPr="006E1CD3">
        <w:rPr>
          <w:rFonts w:ascii="Arial" w:eastAsia="Arial" w:hAnsi="Arial" w:cs="Arial"/>
          <w:i/>
          <w:iCs/>
          <w:sz w:val="22"/>
          <w:szCs w:val="22"/>
        </w:rPr>
        <w:t xml:space="preserve">, con NIT </w:t>
      </w:r>
      <w:r w:rsidRPr="006E1CD3">
        <w:rPr>
          <w:rFonts w:ascii="Arial" w:eastAsia="Arial" w:hAnsi="Arial" w:cs="Arial"/>
          <w:b/>
          <w:bCs/>
          <w:i/>
          <w:iCs/>
          <w:sz w:val="22"/>
          <w:szCs w:val="22"/>
        </w:rPr>
        <w:t>830.012.053-3</w:t>
      </w:r>
      <w:r w:rsidRPr="006E1CD3">
        <w:rPr>
          <w:rFonts w:ascii="Arial" w:eastAsia="Arial" w:hAnsi="Arial" w:cs="Arial"/>
          <w:i/>
          <w:iCs/>
          <w:sz w:val="22"/>
          <w:szCs w:val="22"/>
        </w:rPr>
        <w:t xml:space="preserve">, representada legalmente por el señor </w:t>
      </w:r>
      <w:r w:rsidRPr="006E1CD3">
        <w:rPr>
          <w:rFonts w:ascii="Arial" w:eastAsia="Arial" w:hAnsi="Arial" w:cs="Arial"/>
          <w:b/>
          <w:bCs/>
          <w:i/>
          <w:iCs/>
          <w:sz w:val="22"/>
          <w:szCs w:val="22"/>
        </w:rPr>
        <w:t>RAFAEL AUGUSTO MARIN VALENCIA</w:t>
      </w:r>
      <w:r w:rsidRPr="006E1CD3">
        <w:rPr>
          <w:rFonts w:ascii="Arial" w:eastAsia="Arial" w:hAnsi="Arial" w:cs="Arial"/>
          <w:i/>
          <w:iCs/>
          <w:sz w:val="22"/>
          <w:szCs w:val="22"/>
        </w:rPr>
        <w:t xml:space="preserve"> (o quien haga sus veces), para que dentro de los diez (10) días (hábiles) siguientes al cumplimiento del término otorgado en el artículo anterior, acredite ante este Despacho la realización de las labores de corrección sobre el citado hecho.</w:t>
      </w:r>
    </w:p>
    <w:p w14:paraId="693D2194" w14:textId="77777777" w:rsidR="003A3646" w:rsidRPr="006E1CD3" w:rsidRDefault="003A3646">
      <w:pPr>
        <w:widowControl w:val="0"/>
        <w:ind w:left="720"/>
        <w:jc w:val="both"/>
        <w:rPr>
          <w:rFonts w:ascii="Arial" w:eastAsia="Arial" w:hAnsi="Arial" w:cs="Arial"/>
          <w:i/>
          <w:iCs/>
          <w:sz w:val="22"/>
          <w:szCs w:val="22"/>
        </w:rPr>
      </w:pPr>
      <w:bookmarkStart w:id="8" w:name="_heading=h.4osn6cac7z5" w:colFirst="0" w:colLast="0"/>
      <w:bookmarkEnd w:id="8"/>
    </w:p>
    <w:p w14:paraId="693D2195" w14:textId="77777777" w:rsidR="003A3646" w:rsidRPr="006E1CD3" w:rsidRDefault="005A2B48">
      <w:pPr>
        <w:widowControl w:val="0"/>
        <w:ind w:left="720"/>
        <w:jc w:val="both"/>
        <w:rPr>
          <w:rFonts w:ascii="Arial" w:eastAsia="Arial" w:hAnsi="Arial" w:cs="Arial"/>
          <w:i/>
          <w:iCs/>
          <w:sz w:val="22"/>
          <w:szCs w:val="22"/>
        </w:rPr>
      </w:pPr>
      <w:bookmarkStart w:id="9" w:name="_heading=h.b8korpyp0hjy" w:colFirst="0" w:colLast="0"/>
      <w:bookmarkEnd w:id="9"/>
      <w:r w:rsidRPr="006E1CD3">
        <w:rPr>
          <w:rFonts w:ascii="Arial" w:eastAsia="Arial" w:hAnsi="Arial" w:cs="Arial"/>
          <w:b/>
          <w:bCs/>
          <w:i/>
          <w:iCs/>
          <w:sz w:val="22"/>
          <w:szCs w:val="22"/>
        </w:rPr>
        <w:t>ARTÍCULO CUARTO</w:t>
      </w:r>
      <w:r w:rsidRPr="006E1CD3">
        <w:rPr>
          <w:rFonts w:ascii="Arial" w:eastAsia="Arial" w:hAnsi="Arial" w:cs="Arial"/>
          <w:i/>
          <w:iCs/>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 del Decreto Ley 078 de 1987.”</w:t>
      </w:r>
    </w:p>
    <w:p w14:paraId="693D2196" w14:textId="77777777" w:rsidR="003A3646" w:rsidRPr="006E1CD3" w:rsidRDefault="003A3646">
      <w:pPr>
        <w:ind w:right="-92"/>
        <w:jc w:val="both"/>
        <w:rPr>
          <w:rFonts w:ascii="Arial" w:eastAsia="Arial" w:hAnsi="Arial" w:cs="Arial"/>
          <w:i/>
          <w:iCs/>
          <w:sz w:val="22"/>
          <w:szCs w:val="22"/>
        </w:rPr>
      </w:pPr>
    </w:p>
    <w:p w14:paraId="693D2197" w14:textId="77777777" w:rsidR="003A3646" w:rsidRPr="006E1CD3" w:rsidRDefault="005A2B48">
      <w:pPr>
        <w:ind w:right="-92"/>
        <w:jc w:val="both"/>
        <w:rPr>
          <w:rFonts w:ascii="Arial" w:eastAsia="Arial" w:hAnsi="Arial" w:cs="Arial"/>
          <w:sz w:val="22"/>
          <w:szCs w:val="22"/>
        </w:rPr>
      </w:pPr>
      <w:r w:rsidRPr="006E1CD3">
        <w:rPr>
          <w:rFonts w:ascii="Arial" w:eastAsia="Arial" w:hAnsi="Arial" w:cs="Arial"/>
          <w:sz w:val="22"/>
          <w:szCs w:val="22"/>
        </w:rPr>
        <w:t>Que, una vez notificado el precitado acto administrativo, mediante radicado 1-2019-43237 del 27 de noviembre de 2019, el señor LUIS GUILLERMO FERNANDO RODERO TRUJILLO actuando en calidad de apoderado judicial de la sociedad enajenadora URBANIZADORA MARVAL S.A.S., interpuso recurso de reposición y en subsidio apelación contra la Resolución No. 2125 del 25 de septiembre de 2019, “</w:t>
      </w:r>
      <w:r w:rsidRPr="006E1CD3">
        <w:rPr>
          <w:rFonts w:ascii="Arial" w:eastAsia="Arial" w:hAnsi="Arial" w:cs="Arial"/>
          <w:i/>
          <w:iCs/>
          <w:sz w:val="22"/>
          <w:szCs w:val="22"/>
        </w:rPr>
        <w:t>Por la cual se impone una sanción y se imparte una orden</w:t>
      </w:r>
      <w:r w:rsidRPr="006E1CD3">
        <w:rPr>
          <w:rFonts w:ascii="Arial" w:eastAsia="Arial" w:hAnsi="Arial" w:cs="Arial"/>
          <w:sz w:val="22"/>
          <w:szCs w:val="22"/>
        </w:rPr>
        <w:t>”.</w:t>
      </w:r>
    </w:p>
    <w:p w14:paraId="693D2198" w14:textId="77777777" w:rsidR="003A3646" w:rsidRPr="006E1CD3" w:rsidRDefault="003A3646">
      <w:pPr>
        <w:ind w:right="-92"/>
        <w:jc w:val="both"/>
        <w:rPr>
          <w:rFonts w:ascii="Arial" w:eastAsia="Arial" w:hAnsi="Arial" w:cs="Arial"/>
          <w:sz w:val="22"/>
          <w:szCs w:val="22"/>
        </w:rPr>
      </w:pPr>
    </w:p>
    <w:p w14:paraId="693D2199" w14:textId="6521B715" w:rsidR="003A3646" w:rsidRPr="007B63BC" w:rsidRDefault="005A2B48">
      <w:pPr>
        <w:ind w:right="-92"/>
        <w:jc w:val="both"/>
        <w:rPr>
          <w:rFonts w:ascii="Arial" w:eastAsia="Arial" w:hAnsi="Arial" w:cs="Arial"/>
          <w:sz w:val="22"/>
          <w:szCs w:val="22"/>
        </w:rPr>
      </w:pPr>
      <w:r w:rsidRPr="006E1CD3">
        <w:rPr>
          <w:rFonts w:ascii="Arial" w:eastAsia="Arial" w:hAnsi="Arial" w:cs="Arial"/>
          <w:sz w:val="22"/>
          <w:szCs w:val="22"/>
        </w:rPr>
        <w:t xml:space="preserve">Que a través de la Resolución No. 694 del 28 de septiembre de 2020, resolvió el recurso de reposición mediante el cual decidió no reponer. Asimismo, mediante la Resolución No. 306 del 27 de abril de 2021 resolvió confirmar en todas sus partes </w:t>
      </w:r>
      <w:r w:rsidR="00150924" w:rsidRPr="006E1CD3">
        <w:rPr>
          <w:rFonts w:ascii="Arial" w:eastAsia="Arial" w:hAnsi="Arial" w:cs="Arial"/>
          <w:sz w:val="22"/>
          <w:szCs w:val="22"/>
        </w:rPr>
        <w:t xml:space="preserve">y cada una de sus partes </w:t>
      </w:r>
      <w:r w:rsidRPr="006E1CD3">
        <w:rPr>
          <w:rFonts w:ascii="Arial" w:eastAsia="Arial" w:hAnsi="Arial" w:cs="Arial"/>
          <w:sz w:val="22"/>
          <w:szCs w:val="22"/>
        </w:rPr>
        <w:t xml:space="preserve">la Resolución recurrida, quedando debidamente ejecutoriada el día </w:t>
      </w:r>
      <w:r w:rsidRPr="007B63BC">
        <w:rPr>
          <w:rFonts w:ascii="Arial" w:eastAsia="Arial" w:hAnsi="Arial" w:cs="Arial"/>
          <w:sz w:val="22"/>
          <w:szCs w:val="22"/>
        </w:rPr>
        <w:t xml:space="preserve">seis (06) de mayo del 2021. </w:t>
      </w:r>
    </w:p>
    <w:p w14:paraId="693D219A" w14:textId="77777777" w:rsidR="003A3646" w:rsidRPr="006E1CD3" w:rsidRDefault="003A3646">
      <w:pPr>
        <w:ind w:right="-92"/>
        <w:jc w:val="both"/>
        <w:rPr>
          <w:rFonts w:ascii="Arial" w:eastAsia="Arial" w:hAnsi="Arial" w:cs="Arial"/>
          <w:sz w:val="22"/>
          <w:szCs w:val="22"/>
        </w:rPr>
      </w:pPr>
    </w:p>
    <w:p w14:paraId="693D219B" w14:textId="27D5D4C8" w:rsidR="003A3646" w:rsidRPr="006E1CD3" w:rsidRDefault="00F04A78">
      <w:pPr>
        <w:ind w:right="-92"/>
        <w:jc w:val="both"/>
        <w:rPr>
          <w:rFonts w:ascii="Arial" w:eastAsia="Arial" w:hAnsi="Arial" w:cs="Arial"/>
          <w:sz w:val="22"/>
          <w:szCs w:val="22"/>
        </w:rPr>
      </w:pPr>
      <w:r w:rsidRPr="006E1CD3">
        <w:rPr>
          <w:rFonts w:ascii="Arial" w:eastAsia="Arial" w:hAnsi="Arial" w:cs="Arial"/>
          <w:sz w:val="22"/>
          <w:szCs w:val="22"/>
        </w:rPr>
        <w:t>E</w:t>
      </w:r>
      <w:r w:rsidR="007B63BC">
        <w:rPr>
          <w:rFonts w:ascii="Arial" w:eastAsia="Arial" w:hAnsi="Arial" w:cs="Arial"/>
          <w:sz w:val="22"/>
          <w:szCs w:val="22"/>
        </w:rPr>
        <w:t xml:space="preserve">ste Despacho </w:t>
      </w:r>
      <w:r w:rsidRPr="006E1CD3">
        <w:rPr>
          <w:rFonts w:ascii="Arial" w:eastAsia="Arial" w:hAnsi="Arial" w:cs="Arial"/>
          <w:sz w:val="22"/>
          <w:szCs w:val="22"/>
        </w:rPr>
        <w:t xml:space="preserve">trasladó el expediente para visita de verificación de hechos, así las cosas, </w:t>
      </w:r>
      <w:r w:rsidR="00B740E2" w:rsidRPr="006E1CD3">
        <w:rPr>
          <w:rFonts w:ascii="Arial" w:eastAsia="Arial" w:hAnsi="Arial" w:cs="Arial"/>
          <w:sz w:val="22"/>
          <w:szCs w:val="22"/>
        </w:rPr>
        <w:t xml:space="preserve">mediante radicados </w:t>
      </w:r>
      <w:r w:rsidR="005A2B48" w:rsidRPr="006E1CD3">
        <w:rPr>
          <w:rFonts w:ascii="Arial" w:eastAsia="Arial" w:hAnsi="Arial" w:cs="Arial"/>
          <w:sz w:val="22"/>
          <w:szCs w:val="22"/>
        </w:rPr>
        <w:t xml:space="preserve">2-2022-67079 y 2-2022-67085 del 04 de noviembre de 2022, se informó a las partes intervinientes, que se practicaría visita de carácter técnico al inmueble objeto de la presente investigación administrativa el día 17 de noviembre de 2022, a fin de verificar el </w:t>
      </w:r>
      <w:r w:rsidR="005A2B48" w:rsidRPr="006E1CD3">
        <w:rPr>
          <w:rFonts w:ascii="Arial" w:eastAsia="Arial" w:hAnsi="Arial" w:cs="Arial"/>
          <w:sz w:val="22"/>
          <w:szCs w:val="22"/>
        </w:rPr>
        <w:lastRenderedPageBreak/>
        <w:t>cumplimiento de las órdenes de hacer impuestas en la Resolución No. 2125 del 25 de septiembre de 2019.</w:t>
      </w:r>
    </w:p>
    <w:p w14:paraId="693D219C" w14:textId="77777777" w:rsidR="003A3646" w:rsidRPr="006E1CD3" w:rsidRDefault="003A3646">
      <w:pPr>
        <w:ind w:right="-92"/>
        <w:jc w:val="both"/>
        <w:rPr>
          <w:rFonts w:ascii="Arial" w:eastAsia="Arial" w:hAnsi="Arial" w:cs="Arial"/>
          <w:sz w:val="22"/>
          <w:szCs w:val="22"/>
        </w:rPr>
      </w:pPr>
    </w:p>
    <w:p w14:paraId="693D219D" w14:textId="6C4040C8" w:rsidR="003A3646" w:rsidRPr="006E1CD3" w:rsidRDefault="005A2B48">
      <w:pPr>
        <w:ind w:right="-92"/>
        <w:jc w:val="both"/>
        <w:rPr>
          <w:rFonts w:ascii="Arial" w:eastAsia="Arial" w:hAnsi="Arial" w:cs="Arial"/>
          <w:sz w:val="22"/>
          <w:szCs w:val="22"/>
        </w:rPr>
      </w:pPr>
      <w:r w:rsidRPr="006E1CD3">
        <w:rPr>
          <w:rFonts w:ascii="Arial" w:eastAsia="Arial" w:hAnsi="Arial" w:cs="Arial"/>
          <w:sz w:val="22"/>
          <w:szCs w:val="22"/>
        </w:rPr>
        <w:t xml:space="preserve">Que, realizada la visita a la que asistió únicamente el señor MAURICIO PUENTES en calidad de apoderado de la sociedad enajenadora URBANIZADORA MARVAL S.A.S., se derivó el Informe de Verificación de Hechos No. 23-017 del 13 de enero de 2023, que evidenció los </w:t>
      </w:r>
      <w:r w:rsidR="007B63BC">
        <w:rPr>
          <w:rFonts w:ascii="Arial" w:eastAsia="Arial" w:hAnsi="Arial" w:cs="Arial"/>
          <w:sz w:val="22"/>
          <w:szCs w:val="22"/>
        </w:rPr>
        <w:t>hechos aún persisten.</w:t>
      </w:r>
      <w:r w:rsidRPr="006E1CD3">
        <w:rPr>
          <w:rFonts w:ascii="Arial" w:eastAsia="Arial" w:hAnsi="Arial" w:cs="Arial"/>
          <w:sz w:val="22"/>
          <w:szCs w:val="22"/>
        </w:rPr>
        <w:t xml:space="preserve"> </w:t>
      </w:r>
    </w:p>
    <w:p w14:paraId="693D21AA" w14:textId="77777777" w:rsidR="003A3646" w:rsidRPr="006E1CD3" w:rsidRDefault="003A3646">
      <w:pPr>
        <w:ind w:right="-92"/>
        <w:jc w:val="both"/>
        <w:rPr>
          <w:rFonts w:ascii="Arial" w:eastAsia="Arial" w:hAnsi="Arial" w:cs="Arial"/>
          <w:sz w:val="22"/>
          <w:szCs w:val="22"/>
        </w:rPr>
      </w:pPr>
    </w:p>
    <w:p w14:paraId="693D21AB" w14:textId="77777777" w:rsidR="003A3646" w:rsidRPr="006E1CD3" w:rsidRDefault="005A2B48">
      <w:pPr>
        <w:ind w:right="-92"/>
        <w:jc w:val="both"/>
        <w:rPr>
          <w:rFonts w:ascii="Arial" w:eastAsia="Arial" w:hAnsi="Arial" w:cs="Arial"/>
          <w:sz w:val="22"/>
          <w:szCs w:val="22"/>
        </w:rPr>
      </w:pPr>
      <w:r w:rsidRPr="006E1CD3">
        <w:rPr>
          <w:rFonts w:ascii="Arial" w:eastAsia="Arial" w:hAnsi="Arial" w:cs="Arial"/>
          <w:sz w:val="22"/>
          <w:szCs w:val="22"/>
        </w:rPr>
        <w:t xml:space="preserve">Que, con el fin de preservar la garantía del debido proceso, este Despacho mediante radicados 2-2023-48242 y 2-2023-43243 del 29 de junio de 2023, corrió traslado del informe de verificación de hechos No. 23-017 del 13 de enero de 2023, a las partes intervinientes, para que realizaran las manifestaciones que ha bien considerara. </w:t>
      </w:r>
    </w:p>
    <w:p w14:paraId="693D21AC" w14:textId="77777777" w:rsidR="003A3646" w:rsidRPr="006E1CD3" w:rsidRDefault="003A3646">
      <w:pPr>
        <w:ind w:right="-92"/>
        <w:jc w:val="both"/>
        <w:rPr>
          <w:rFonts w:ascii="Arial" w:eastAsia="Arial" w:hAnsi="Arial" w:cs="Arial"/>
          <w:sz w:val="22"/>
          <w:szCs w:val="22"/>
        </w:rPr>
      </w:pPr>
    </w:p>
    <w:p w14:paraId="693D21AD" w14:textId="0C1BB6BA" w:rsidR="003A3646" w:rsidRPr="006E1CD3" w:rsidRDefault="001A7BD1">
      <w:pPr>
        <w:ind w:right="-92"/>
        <w:jc w:val="both"/>
        <w:rPr>
          <w:rFonts w:ascii="Arial" w:eastAsia="Arial" w:hAnsi="Arial" w:cs="Arial"/>
          <w:sz w:val="22"/>
          <w:szCs w:val="22"/>
        </w:rPr>
      </w:pPr>
      <w:r>
        <w:rPr>
          <w:rFonts w:ascii="Arial" w:eastAsia="Arial" w:hAnsi="Arial" w:cs="Arial"/>
          <w:sz w:val="22"/>
          <w:szCs w:val="22"/>
        </w:rPr>
        <w:t>Que nuevamente</w:t>
      </w:r>
      <w:r w:rsidR="004E279F" w:rsidRPr="006E1CD3">
        <w:rPr>
          <w:rFonts w:ascii="Arial" w:eastAsia="Arial" w:hAnsi="Arial" w:cs="Arial"/>
          <w:sz w:val="22"/>
          <w:szCs w:val="22"/>
        </w:rPr>
        <w:t xml:space="preserve">, se trasladó el expediente para visita de verificación de hechos, así las cosas, mediante radicados </w:t>
      </w:r>
      <w:r w:rsidR="005A2B48" w:rsidRPr="006E1CD3">
        <w:rPr>
          <w:rFonts w:ascii="Arial" w:eastAsia="Arial" w:hAnsi="Arial" w:cs="Arial"/>
          <w:sz w:val="22"/>
          <w:szCs w:val="22"/>
        </w:rPr>
        <w:t>2-2024-50511 y 2-2024-50512 del 31 de octubre de 2024, este despacho informó a las partes intervinientes, que se practicaría visita de carácter técnico al inmueble objeto de la presente investigación administrativa el día 20 de noviembre de 2024, a fin de verificar el cumplimiento de las órdenes de hacer impuestas en la Resolución No. 2125 del 25 de septiembre de 2019.</w:t>
      </w:r>
    </w:p>
    <w:p w14:paraId="693D21AE" w14:textId="77777777" w:rsidR="003A3646" w:rsidRPr="006E1CD3" w:rsidRDefault="003A3646">
      <w:pPr>
        <w:ind w:right="-92"/>
        <w:jc w:val="both"/>
        <w:rPr>
          <w:rFonts w:ascii="Arial" w:eastAsia="Arial" w:hAnsi="Arial" w:cs="Arial"/>
          <w:sz w:val="22"/>
          <w:szCs w:val="22"/>
        </w:rPr>
      </w:pPr>
    </w:p>
    <w:p w14:paraId="693D21AF" w14:textId="77777777" w:rsidR="003A3646" w:rsidRPr="006E1CD3" w:rsidRDefault="005A2B48">
      <w:pPr>
        <w:ind w:right="-92"/>
        <w:jc w:val="both"/>
        <w:rPr>
          <w:rFonts w:ascii="Arial" w:eastAsia="Arial" w:hAnsi="Arial" w:cs="Arial"/>
          <w:sz w:val="22"/>
          <w:szCs w:val="22"/>
        </w:rPr>
      </w:pPr>
      <w:r w:rsidRPr="006E1CD3">
        <w:rPr>
          <w:rFonts w:ascii="Arial" w:eastAsia="Arial" w:hAnsi="Arial" w:cs="Arial"/>
          <w:sz w:val="22"/>
          <w:szCs w:val="22"/>
        </w:rPr>
        <w:t xml:space="preserve">Que, realizada la visita a la que asistió únicamente el señor OMEL ANTONIO RODRIGUEZ BRITO en calidad de encargado de obra, autorizado por la sociedad enajenadora URBANIZADORA MARVAL S.A.S., se derivó el Informe de Verificación de Hechos No. 24-594 del 13 de diciembre de 2024, que evidenció los siguientes: </w:t>
      </w:r>
    </w:p>
    <w:p w14:paraId="693D21B0" w14:textId="77777777" w:rsidR="003A3646" w:rsidRPr="006E1CD3" w:rsidRDefault="003A3646">
      <w:pPr>
        <w:ind w:right="-92"/>
        <w:jc w:val="both"/>
        <w:rPr>
          <w:rFonts w:ascii="Arial" w:eastAsia="Arial" w:hAnsi="Arial" w:cs="Arial"/>
          <w:sz w:val="22"/>
          <w:szCs w:val="22"/>
        </w:rPr>
      </w:pPr>
    </w:p>
    <w:p w14:paraId="693D21B1" w14:textId="77777777" w:rsidR="003A3646" w:rsidRPr="006E1CD3" w:rsidRDefault="005A2B48">
      <w:pPr>
        <w:ind w:right="-92"/>
        <w:jc w:val="center"/>
        <w:rPr>
          <w:rFonts w:ascii="Arial" w:eastAsia="Arial" w:hAnsi="Arial" w:cs="Arial"/>
          <w:b/>
          <w:bCs/>
          <w:i/>
          <w:iCs/>
          <w:sz w:val="22"/>
          <w:szCs w:val="22"/>
        </w:rPr>
      </w:pPr>
      <w:r w:rsidRPr="006E1CD3">
        <w:rPr>
          <w:rFonts w:ascii="Arial" w:eastAsia="Arial" w:hAnsi="Arial" w:cs="Arial"/>
          <w:b/>
          <w:bCs/>
          <w:i/>
          <w:iCs/>
          <w:sz w:val="22"/>
          <w:szCs w:val="22"/>
        </w:rPr>
        <w:t xml:space="preserve">HALLAZGOS </w:t>
      </w:r>
    </w:p>
    <w:p w14:paraId="693D21B2" w14:textId="77777777" w:rsidR="003A3646" w:rsidRPr="006E1CD3" w:rsidRDefault="003A3646">
      <w:pPr>
        <w:ind w:right="-92"/>
        <w:jc w:val="center"/>
        <w:rPr>
          <w:rFonts w:ascii="Arial" w:eastAsia="Arial" w:hAnsi="Arial" w:cs="Arial"/>
          <w:b/>
          <w:bCs/>
          <w:i/>
          <w:iCs/>
          <w:sz w:val="22"/>
          <w:szCs w:val="22"/>
        </w:rPr>
      </w:pPr>
    </w:p>
    <w:p w14:paraId="693D21B3" w14:textId="77777777" w:rsidR="003A3646" w:rsidRPr="006E1CD3" w:rsidRDefault="005A2B48">
      <w:pPr>
        <w:ind w:left="680" w:right="680"/>
        <w:jc w:val="both"/>
        <w:rPr>
          <w:rFonts w:ascii="Arial" w:eastAsia="Arial" w:hAnsi="Arial" w:cs="Arial"/>
          <w:b/>
          <w:bCs/>
          <w:i/>
          <w:iCs/>
          <w:sz w:val="22"/>
          <w:szCs w:val="22"/>
        </w:rPr>
      </w:pPr>
      <w:r w:rsidRPr="006E1CD3">
        <w:rPr>
          <w:rFonts w:ascii="Arial" w:eastAsia="Arial" w:hAnsi="Arial" w:cs="Arial"/>
          <w:b/>
          <w:bCs/>
          <w:i/>
          <w:iCs/>
          <w:sz w:val="22"/>
          <w:szCs w:val="22"/>
        </w:rPr>
        <w:t>1. DESNIVEL PISO</w:t>
      </w:r>
    </w:p>
    <w:p w14:paraId="693D21B4" w14:textId="77777777" w:rsidR="003A3646" w:rsidRPr="006E1CD3" w:rsidRDefault="003A3646">
      <w:pPr>
        <w:ind w:left="680" w:right="680"/>
        <w:jc w:val="both"/>
        <w:rPr>
          <w:rFonts w:ascii="Arial" w:eastAsia="Arial" w:hAnsi="Arial" w:cs="Arial"/>
          <w:i/>
          <w:iCs/>
          <w:sz w:val="22"/>
          <w:szCs w:val="22"/>
        </w:rPr>
      </w:pPr>
    </w:p>
    <w:p w14:paraId="693D21B5" w14:textId="77777777" w:rsidR="003A3646" w:rsidRPr="006E1CD3" w:rsidRDefault="005A2B48">
      <w:pPr>
        <w:ind w:left="680" w:right="680"/>
        <w:jc w:val="both"/>
        <w:rPr>
          <w:rFonts w:ascii="Arial" w:eastAsia="Arial" w:hAnsi="Arial" w:cs="Arial"/>
          <w:i/>
          <w:iCs/>
          <w:sz w:val="22"/>
          <w:szCs w:val="22"/>
        </w:rPr>
      </w:pPr>
      <w:r w:rsidRPr="006E1CD3">
        <w:rPr>
          <w:rFonts w:ascii="Arial" w:eastAsia="Arial" w:hAnsi="Arial" w:cs="Arial"/>
          <w:i/>
          <w:iCs/>
          <w:sz w:val="22"/>
          <w:szCs w:val="22"/>
        </w:rPr>
        <w:t xml:space="preserve">Durante el recorrido realizado en las diferentes áreas que conforman el apartamento, se pudo observar que la placa de contrapiso fue elaborada posterior a la intervención del pilotaje de reforzamiento realizada en el primer piso de la torre, dicha placa de contrapiso se encuentra nivelada, pero sin ningún tipo de acabado. Por tanto, se estima que el hecho </w:t>
      </w:r>
      <w:r w:rsidRPr="006E1CD3">
        <w:rPr>
          <w:rFonts w:ascii="Arial" w:eastAsia="Arial" w:hAnsi="Arial" w:cs="Arial"/>
          <w:b/>
          <w:bCs/>
          <w:i/>
          <w:iCs/>
          <w:sz w:val="22"/>
          <w:szCs w:val="22"/>
        </w:rPr>
        <w:t>PERSISTE</w:t>
      </w:r>
      <w:r w:rsidRPr="006E1CD3">
        <w:rPr>
          <w:rFonts w:ascii="Arial" w:eastAsia="Arial" w:hAnsi="Arial" w:cs="Arial"/>
          <w:i/>
          <w:iCs/>
          <w:sz w:val="22"/>
          <w:szCs w:val="22"/>
        </w:rPr>
        <w:t>.</w:t>
      </w:r>
    </w:p>
    <w:p w14:paraId="693D21B6" w14:textId="77777777" w:rsidR="003A3646" w:rsidRPr="006E1CD3" w:rsidRDefault="003A3646">
      <w:pPr>
        <w:ind w:left="680" w:right="680"/>
        <w:jc w:val="both"/>
        <w:rPr>
          <w:rFonts w:ascii="Arial" w:eastAsia="Arial" w:hAnsi="Arial" w:cs="Arial"/>
          <w:i/>
          <w:iCs/>
          <w:sz w:val="22"/>
          <w:szCs w:val="22"/>
        </w:rPr>
      </w:pPr>
    </w:p>
    <w:p w14:paraId="693D21B7" w14:textId="77777777" w:rsidR="003A3646" w:rsidRPr="006E1CD3" w:rsidRDefault="005A2B48">
      <w:pPr>
        <w:ind w:left="680" w:right="680"/>
        <w:jc w:val="both"/>
        <w:rPr>
          <w:rFonts w:ascii="Arial" w:eastAsia="Arial" w:hAnsi="Arial" w:cs="Arial"/>
          <w:b/>
          <w:bCs/>
          <w:i/>
          <w:iCs/>
          <w:sz w:val="22"/>
          <w:szCs w:val="22"/>
        </w:rPr>
      </w:pPr>
      <w:r w:rsidRPr="006E1CD3">
        <w:rPr>
          <w:rFonts w:ascii="Arial" w:eastAsia="Arial" w:hAnsi="Arial" w:cs="Arial"/>
          <w:b/>
          <w:bCs/>
          <w:i/>
          <w:iCs/>
          <w:sz w:val="22"/>
          <w:szCs w:val="22"/>
        </w:rPr>
        <w:t>2. FISURA EN MURO BAÑO</w:t>
      </w:r>
    </w:p>
    <w:p w14:paraId="693D21B8" w14:textId="77777777" w:rsidR="003A3646" w:rsidRPr="006E1CD3" w:rsidRDefault="003A3646">
      <w:pPr>
        <w:ind w:left="680" w:right="680"/>
        <w:jc w:val="both"/>
        <w:rPr>
          <w:rFonts w:ascii="Arial" w:eastAsia="Arial" w:hAnsi="Arial" w:cs="Arial"/>
          <w:i/>
          <w:iCs/>
          <w:sz w:val="22"/>
          <w:szCs w:val="22"/>
        </w:rPr>
      </w:pPr>
    </w:p>
    <w:p w14:paraId="693D21B9" w14:textId="77777777" w:rsidR="003A3646" w:rsidRPr="006E1CD3" w:rsidRDefault="005A2B48">
      <w:pPr>
        <w:ind w:left="680" w:right="680"/>
        <w:jc w:val="both"/>
        <w:rPr>
          <w:rFonts w:ascii="Arial" w:eastAsia="Arial" w:hAnsi="Arial" w:cs="Arial"/>
          <w:i/>
          <w:iCs/>
          <w:sz w:val="22"/>
          <w:szCs w:val="22"/>
        </w:rPr>
      </w:pPr>
      <w:r w:rsidRPr="006E1CD3">
        <w:rPr>
          <w:rFonts w:ascii="Arial" w:eastAsia="Arial" w:hAnsi="Arial" w:cs="Arial"/>
          <w:i/>
          <w:iCs/>
          <w:sz w:val="22"/>
          <w:szCs w:val="22"/>
        </w:rPr>
        <w:t xml:space="preserve">Durante la visita se pudo observar que el apartamento se encuentra pañetado parcialmente, por lo que no es posible evidenciar presencia de fisuras o grietas, más sin embargo queda pendiente parte de un muro por construir, pañetar y enchapar. Por tal razón se puede determinar que el hecho relacionado con las grietas o fisuras en muros </w:t>
      </w:r>
      <w:r w:rsidRPr="006E1CD3">
        <w:rPr>
          <w:rFonts w:ascii="Arial" w:eastAsia="Arial" w:hAnsi="Arial" w:cs="Arial"/>
          <w:b/>
          <w:bCs/>
          <w:i/>
          <w:iCs/>
          <w:sz w:val="22"/>
          <w:szCs w:val="22"/>
        </w:rPr>
        <w:t>PERSISTE</w:t>
      </w:r>
      <w:r w:rsidRPr="006E1CD3">
        <w:rPr>
          <w:rFonts w:ascii="Arial" w:eastAsia="Arial" w:hAnsi="Arial" w:cs="Arial"/>
          <w:i/>
          <w:iCs/>
          <w:sz w:val="22"/>
          <w:szCs w:val="22"/>
        </w:rPr>
        <w:t>.</w:t>
      </w:r>
    </w:p>
    <w:p w14:paraId="693D21BA" w14:textId="77777777" w:rsidR="003A3646" w:rsidRPr="006E1CD3" w:rsidRDefault="003A3646">
      <w:pPr>
        <w:ind w:left="680" w:right="680"/>
        <w:jc w:val="both"/>
        <w:rPr>
          <w:rFonts w:ascii="Arial" w:eastAsia="Arial" w:hAnsi="Arial" w:cs="Arial"/>
          <w:i/>
          <w:iCs/>
          <w:sz w:val="22"/>
          <w:szCs w:val="22"/>
        </w:rPr>
      </w:pPr>
    </w:p>
    <w:p w14:paraId="693D21BB" w14:textId="77777777" w:rsidR="003A3646" w:rsidRPr="006E1CD3" w:rsidRDefault="005A2B48">
      <w:pPr>
        <w:ind w:left="680" w:right="680"/>
        <w:jc w:val="both"/>
        <w:rPr>
          <w:rFonts w:ascii="Arial" w:eastAsia="Arial" w:hAnsi="Arial" w:cs="Arial"/>
          <w:i/>
          <w:iCs/>
          <w:sz w:val="22"/>
          <w:szCs w:val="22"/>
        </w:rPr>
      </w:pPr>
      <w:r w:rsidRPr="006E1CD3">
        <w:rPr>
          <w:rFonts w:ascii="Arial" w:eastAsia="Arial" w:hAnsi="Arial" w:cs="Arial"/>
          <w:i/>
          <w:iCs/>
          <w:sz w:val="22"/>
          <w:szCs w:val="22"/>
        </w:rPr>
        <w:lastRenderedPageBreak/>
        <w:t>De lo previamente citado del informe de verificación anterior, se debe indicar que las afectaciones encontradas en el inmueble se daban como consecuencia de las "condiciones de asentamientos" que se presentaban en la torre. Y que con ellas se infería que el funcionamiento de la estructura del edificio se veía afectada, por cuanto las condiciones anormales observadas afectarían el comportamiento de la misma pues las condiciones iniciales variaron.</w:t>
      </w:r>
    </w:p>
    <w:p w14:paraId="693D21BC" w14:textId="77777777" w:rsidR="003A3646" w:rsidRPr="006E1CD3" w:rsidRDefault="003A3646">
      <w:pPr>
        <w:ind w:left="680" w:right="680"/>
        <w:jc w:val="both"/>
        <w:rPr>
          <w:rFonts w:ascii="Arial" w:eastAsia="Arial" w:hAnsi="Arial" w:cs="Arial"/>
          <w:i/>
          <w:iCs/>
          <w:sz w:val="22"/>
          <w:szCs w:val="22"/>
        </w:rPr>
      </w:pPr>
    </w:p>
    <w:p w14:paraId="693D21BD" w14:textId="77777777" w:rsidR="003A3646" w:rsidRPr="006E1CD3" w:rsidRDefault="005A2B48">
      <w:pPr>
        <w:ind w:left="680" w:right="680"/>
        <w:jc w:val="both"/>
        <w:rPr>
          <w:rFonts w:ascii="Arial" w:eastAsia="Arial" w:hAnsi="Arial" w:cs="Arial"/>
          <w:i/>
          <w:iCs/>
          <w:sz w:val="22"/>
          <w:szCs w:val="22"/>
        </w:rPr>
      </w:pPr>
      <w:r w:rsidRPr="006E1CD3">
        <w:rPr>
          <w:rFonts w:ascii="Arial" w:eastAsia="Arial" w:hAnsi="Arial" w:cs="Arial"/>
          <w:i/>
          <w:iCs/>
          <w:sz w:val="22"/>
          <w:szCs w:val="22"/>
        </w:rPr>
        <w:t xml:space="preserve"> Por lo que la afectación se enmarcaba en el incumplimiento de lo prescrito en el Art. 1 de la Ley 400 de 1997. Si bien es cierto que la afectación recae sobre la estructura de la edificación y que en el informe previo se indica que no se evidenciaban afectaciones a esta. También lo es, que los hallazgos de ese informe son como consecuencia de las afectaciones generadas a la estructura, que por estar vinculadas a ella se derivan en las afectaciones encontradas.</w:t>
      </w:r>
    </w:p>
    <w:p w14:paraId="693D21BE" w14:textId="77777777" w:rsidR="003A3646" w:rsidRPr="006E1CD3" w:rsidRDefault="003A3646">
      <w:pPr>
        <w:ind w:left="680" w:right="680"/>
        <w:jc w:val="both"/>
        <w:rPr>
          <w:rFonts w:ascii="Arial" w:eastAsia="Arial" w:hAnsi="Arial" w:cs="Arial"/>
          <w:i/>
          <w:iCs/>
          <w:sz w:val="22"/>
          <w:szCs w:val="22"/>
        </w:rPr>
      </w:pPr>
    </w:p>
    <w:p w14:paraId="693D21BF" w14:textId="77777777" w:rsidR="003A3646" w:rsidRPr="006E1CD3" w:rsidRDefault="005A2B48">
      <w:pPr>
        <w:ind w:left="680" w:right="680"/>
        <w:jc w:val="both"/>
        <w:rPr>
          <w:rFonts w:ascii="Arial" w:eastAsia="Arial" w:hAnsi="Arial" w:cs="Arial"/>
          <w:i/>
          <w:iCs/>
          <w:sz w:val="22"/>
          <w:szCs w:val="22"/>
        </w:rPr>
      </w:pPr>
      <w:r w:rsidRPr="006E1CD3">
        <w:rPr>
          <w:rFonts w:ascii="Arial" w:eastAsia="Arial" w:hAnsi="Arial" w:cs="Arial"/>
          <w:i/>
          <w:iCs/>
          <w:sz w:val="22"/>
          <w:szCs w:val="22"/>
        </w:rPr>
        <w:t>En estas condiciones es claro que las afectaciones de las áreas comunes se refieren a los asentamientos diferenciales que se vienen presentando en el conjunto residencial, mientras que las afectaciones en el área privada, asociadas al mismo fenómeno, comprometen el hacinamiento de elementos estructurales y no estructurales, lo que genera un riesgo para la vida e integridad de los residentes, esto considerando que, de acuerdo a lo ya manifestado, el comportamiento esperado ante el evento de un sismo se ve alterado con respecto al cálculo inicial de la estructura.</w:t>
      </w:r>
    </w:p>
    <w:p w14:paraId="693D21C0" w14:textId="77777777" w:rsidR="003A3646" w:rsidRPr="006E1CD3" w:rsidRDefault="003A3646">
      <w:pPr>
        <w:ind w:left="680" w:right="680"/>
        <w:jc w:val="both"/>
        <w:rPr>
          <w:rFonts w:ascii="Arial" w:eastAsia="Arial" w:hAnsi="Arial" w:cs="Arial"/>
          <w:i/>
          <w:iCs/>
          <w:sz w:val="22"/>
          <w:szCs w:val="22"/>
        </w:rPr>
      </w:pPr>
    </w:p>
    <w:p w14:paraId="693D21C1" w14:textId="77777777" w:rsidR="003A3646" w:rsidRPr="006E1CD3" w:rsidRDefault="005A2B48">
      <w:pPr>
        <w:ind w:left="680" w:right="680"/>
        <w:jc w:val="both"/>
        <w:rPr>
          <w:rFonts w:ascii="Arial" w:eastAsia="Arial" w:hAnsi="Arial" w:cs="Arial"/>
          <w:i/>
          <w:iCs/>
          <w:sz w:val="22"/>
          <w:szCs w:val="22"/>
        </w:rPr>
      </w:pPr>
      <w:r w:rsidRPr="006E1CD3">
        <w:rPr>
          <w:rFonts w:ascii="Arial" w:eastAsia="Arial" w:hAnsi="Arial" w:cs="Arial"/>
          <w:i/>
          <w:iCs/>
          <w:sz w:val="22"/>
          <w:szCs w:val="22"/>
          <w:u w:val="single"/>
        </w:rPr>
        <w:t>Por lo anterior se puede concluir que los hechos persisten hasta tanto no se restablezcan las condiciones de los elementos que sufrieron las afectaciones como consecuencia de la variación en la estructura por efectos de los asentamientos descritos en el informe</w:t>
      </w:r>
      <w:r w:rsidRPr="006E1CD3">
        <w:rPr>
          <w:rFonts w:ascii="Arial" w:eastAsia="Arial" w:hAnsi="Arial" w:cs="Arial"/>
          <w:i/>
          <w:iCs/>
          <w:sz w:val="22"/>
          <w:szCs w:val="22"/>
        </w:rPr>
        <w:t>".</w:t>
      </w:r>
    </w:p>
    <w:p w14:paraId="693D21C2" w14:textId="77777777" w:rsidR="003A3646" w:rsidRPr="006E1CD3" w:rsidRDefault="003A3646">
      <w:pPr>
        <w:ind w:right="-92"/>
        <w:jc w:val="both"/>
        <w:rPr>
          <w:rFonts w:ascii="Arial" w:eastAsia="Arial" w:hAnsi="Arial" w:cs="Arial"/>
          <w:sz w:val="22"/>
          <w:szCs w:val="22"/>
        </w:rPr>
      </w:pPr>
    </w:p>
    <w:p w14:paraId="693D21C3" w14:textId="77777777" w:rsidR="003A3646" w:rsidRPr="006E1CD3" w:rsidRDefault="005A2B48">
      <w:pPr>
        <w:ind w:right="-92"/>
        <w:jc w:val="both"/>
        <w:rPr>
          <w:rFonts w:ascii="Arial" w:eastAsia="Arial" w:hAnsi="Arial" w:cs="Arial"/>
          <w:sz w:val="22"/>
          <w:szCs w:val="22"/>
        </w:rPr>
      </w:pPr>
      <w:r w:rsidRPr="006E1CD3">
        <w:rPr>
          <w:rFonts w:ascii="Arial" w:eastAsia="Arial" w:hAnsi="Arial" w:cs="Arial"/>
          <w:sz w:val="22"/>
          <w:szCs w:val="22"/>
        </w:rPr>
        <w:t>Que, mediante radicado 1-2025-2453 del 27 de enero de 2025, el señor HAROLD SÓCRATES SÁNCHEZ VILLAMIZAR en calidad de apoderado especial de la sociedad enajenadora URBANIZADORA MARVAL S.A.S., alega al despacho prueba de cumplimiento de la orden impuesta en la Resolución No. 2125 del 25 de septiembre de 2019.</w:t>
      </w:r>
    </w:p>
    <w:p w14:paraId="693D21C4" w14:textId="77777777" w:rsidR="003A3646" w:rsidRPr="006E1CD3" w:rsidRDefault="003A3646">
      <w:pPr>
        <w:ind w:right="-92"/>
        <w:jc w:val="both"/>
        <w:rPr>
          <w:rFonts w:ascii="Arial" w:eastAsia="Arial" w:hAnsi="Arial" w:cs="Arial"/>
          <w:sz w:val="22"/>
          <w:szCs w:val="22"/>
        </w:rPr>
      </w:pPr>
    </w:p>
    <w:p w14:paraId="693D21C5" w14:textId="77777777" w:rsidR="003A3646" w:rsidRPr="006E1CD3" w:rsidRDefault="005A2B48">
      <w:pPr>
        <w:widowControl w:val="0"/>
        <w:pBdr>
          <w:top w:val="nil"/>
          <w:left w:val="nil"/>
          <w:bottom w:val="nil"/>
          <w:right w:val="nil"/>
          <w:between w:val="nil"/>
        </w:pBdr>
        <w:jc w:val="both"/>
        <w:rPr>
          <w:rFonts w:ascii="Arial" w:eastAsia="Arial" w:hAnsi="Arial" w:cs="Arial"/>
          <w:sz w:val="22"/>
          <w:szCs w:val="22"/>
        </w:rPr>
      </w:pPr>
      <w:r w:rsidRPr="006E1CD3">
        <w:rPr>
          <w:rFonts w:ascii="Arial" w:eastAsia="Arial" w:hAnsi="Arial" w:cs="Arial"/>
          <w:sz w:val="22"/>
          <w:szCs w:val="22"/>
        </w:rPr>
        <w:t>Que, con el fin de preservar la garantía del debido proceso, este Despacho mediante radicados 2-2025-28164 y 2-2025-28136 del 30 de mayo de 2025, corrió traslado del informe de verificación de hechos No 24-594 del 13 de diciembre de 2024 a las partes intervinientes, para que realizaran las manifestaciones que ha bien considerara.</w:t>
      </w:r>
    </w:p>
    <w:p w14:paraId="693D21C6" w14:textId="77777777" w:rsidR="003A3646" w:rsidRPr="006E1CD3" w:rsidRDefault="003A3646">
      <w:pPr>
        <w:ind w:right="-92"/>
        <w:jc w:val="both"/>
        <w:rPr>
          <w:rFonts w:ascii="Arial" w:eastAsia="Arial" w:hAnsi="Arial" w:cs="Arial"/>
          <w:sz w:val="22"/>
          <w:szCs w:val="22"/>
        </w:rPr>
      </w:pPr>
    </w:p>
    <w:p w14:paraId="693D21C7" w14:textId="77777777" w:rsidR="003A3646" w:rsidRPr="006E1CD3" w:rsidRDefault="005A2B48">
      <w:pPr>
        <w:ind w:right="-92"/>
        <w:jc w:val="both"/>
        <w:rPr>
          <w:rFonts w:ascii="Arial" w:eastAsia="Arial" w:hAnsi="Arial" w:cs="Arial"/>
          <w:sz w:val="22"/>
          <w:szCs w:val="22"/>
        </w:rPr>
      </w:pPr>
      <w:r w:rsidRPr="006E1CD3">
        <w:rPr>
          <w:rFonts w:ascii="Arial" w:eastAsia="Arial" w:hAnsi="Arial" w:cs="Arial"/>
          <w:sz w:val="22"/>
          <w:szCs w:val="22"/>
        </w:rPr>
        <w:t xml:space="preserve">En razón a lo aquí expuesto, este Despacho procederá a determinar si resulta procedente la imposición de multas sucesivas ante la carencia de acreditación del cumplimiento de las órdenes de hacer impuestas mediante Resolución No. 2125 del 25 de septiembre de 2019, </w:t>
      </w:r>
      <w:r w:rsidRPr="006E1CD3">
        <w:rPr>
          <w:rFonts w:ascii="Arial" w:eastAsia="Arial" w:hAnsi="Arial" w:cs="Arial"/>
          <w:sz w:val="22"/>
          <w:szCs w:val="22"/>
        </w:rPr>
        <w:lastRenderedPageBreak/>
        <w:t>de conformidad a lo expuesto en el inciso segundo, numeral 9° del artículo 2° del Decreto Ley 078 de 1987.</w:t>
      </w:r>
    </w:p>
    <w:p w14:paraId="693D21C8" w14:textId="77777777" w:rsidR="003A3646" w:rsidRPr="006E1CD3" w:rsidRDefault="003A3646">
      <w:pPr>
        <w:pBdr>
          <w:top w:val="nil"/>
          <w:left w:val="nil"/>
          <w:bottom w:val="nil"/>
          <w:right w:val="nil"/>
          <w:between w:val="nil"/>
        </w:pBdr>
        <w:ind w:left="-284" w:right="-92"/>
        <w:jc w:val="center"/>
        <w:rPr>
          <w:rFonts w:ascii="Arial" w:eastAsia="Arial" w:hAnsi="Arial" w:cs="Arial"/>
          <w:b/>
          <w:bCs/>
          <w:sz w:val="22"/>
          <w:szCs w:val="22"/>
        </w:rPr>
      </w:pPr>
    </w:p>
    <w:p w14:paraId="693D21C9" w14:textId="77777777" w:rsidR="003A3646" w:rsidRPr="006E1CD3" w:rsidRDefault="005A2B48">
      <w:pPr>
        <w:pBdr>
          <w:top w:val="nil"/>
          <w:left w:val="nil"/>
          <w:bottom w:val="nil"/>
          <w:right w:val="nil"/>
          <w:between w:val="nil"/>
        </w:pBdr>
        <w:ind w:left="-284" w:right="-92"/>
        <w:jc w:val="center"/>
        <w:rPr>
          <w:rFonts w:ascii="Arial" w:eastAsia="Arial" w:hAnsi="Arial" w:cs="Arial"/>
          <w:b/>
          <w:bCs/>
          <w:sz w:val="22"/>
          <w:szCs w:val="22"/>
        </w:rPr>
      </w:pPr>
      <w:r w:rsidRPr="006E1CD3">
        <w:rPr>
          <w:rFonts w:ascii="Arial" w:eastAsia="Arial" w:hAnsi="Arial" w:cs="Arial"/>
          <w:b/>
          <w:bCs/>
          <w:sz w:val="22"/>
          <w:szCs w:val="22"/>
        </w:rPr>
        <w:t>CONSIDERACIONES DEL DESPACHO</w:t>
      </w:r>
    </w:p>
    <w:p w14:paraId="693D21CA" w14:textId="77777777" w:rsidR="003A3646" w:rsidRPr="006E1CD3" w:rsidRDefault="003A3646">
      <w:pPr>
        <w:pBdr>
          <w:top w:val="nil"/>
          <w:left w:val="nil"/>
          <w:bottom w:val="nil"/>
          <w:right w:val="nil"/>
          <w:between w:val="nil"/>
        </w:pBdr>
        <w:ind w:left="-284" w:right="-92"/>
        <w:jc w:val="center"/>
        <w:rPr>
          <w:rFonts w:ascii="Arial" w:eastAsia="Arial" w:hAnsi="Arial" w:cs="Arial"/>
          <w:b/>
          <w:bCs/>
          <w:sz w:val="22"/>
          <w:szCs w:val="22"/>
        </w:rPr>
      </w:pPr>
    </w:p>
    <w:p w14:paraId="693D21CB" w14:textId="77777777" w:rsidR="003A3646" w:rsidRPr="006E1CD3" w:rsidRDefault="005A2B48">
      <w:pPr>
        <w:ind w:right="-92"/>
        <w:jc w:val="both"/>
        <w:rPr>
          <w:rFonts w:ascii="Arial" w:eastAsia="Arial" w:hAnsi="Arial" w:cs="Arial"/>
          <w:sz w:val="22"/>
          <w:szCs w:val="22"/>
        </w:rPr>
      </w:pPr>
      <w:r w:rsidRPr="006E1CD3">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693D21CC" w14:textId="77777777" w:rsidR="003A3646" w:rsidRPr="006E1CD3" w:rsidRDefault="003A3646">
      <w:pPr>
        <w:ind w:right="-92"/>
        <w:jc w:val="both"/>
        <w:rPr>
          <w:rFonts w:ascii="Arial" w:eastAsia="Arial" w:hAnsi="Arial" w:cs="Arial"/>
          <w:sz w:val="22"/>
          <w:szCs w:val="22"/>
        </w:rPr>
      </w:pPr>
    </w:p>
    <w:p w14:paraId="693D21CD" w14:textId="77777777" w:rsidR="003A3646" w:rsidRPr="006E1CD3" w:rsidRDefault="005A2B48">
      <w:pPr>
        <w:jc w:val="both"/>
        <w:rPr>
          <w:rFonts w:ascii="Arial" w:eastAsia="Arial" w:hAnsi="Arial" w:cs="Arial"/>
          <w:sz w:val="22"/>
          <w:szCs w:val="22"/>
        </w:rPr>
      </w:pPr>
      <w:r w:rsidRPr="006E1CD3">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 2125 del 25 de septiembre de 2019,  “</w:t>
      </w:r>
      <w:r w:rsidRPr="006E1CD3">
        <w:rPr>
          <w:rFonts w:ascii="Arial" w:eastAsia="Arial" w:hAnsi="Arial" w:cs="Arial"/>
          <w:i/>
          <w:iCs/>
          <w:sz w:val="22"/>
          <w:szCs w:val="22"/>
        </w:rPr>
        <w:t>Por la cual se impone una sanción y se imparte una orden</w:t>
      </w:r>
      <w:r w:rsidRPr="006E1CD3">
        <w:rPr>
          <w:rFonts w:ascii="Arial" w:eastAsia="Arial" w:hAnsi="Arial" w:cs="Arial"/>
          <w:sz w:val="22"/>
          <w:szCs w:val="22"/>
        </w:rPr>
        <w:t>”, a la sociedad enajenadora URBANIZADORA MARVAL S.A.S cual debía ser cumplida dentro del plazo fijado contado a partir de la ejecutoria de esta.</w:t>
      </w:r>
    </w:p>
    <w:p w14:paraId="693D21CE" w14:textId="77777777" w:rsidR="003A3646" w:rsidRPr="006E1CD3" w:rsidRDefault="003A3646">
      <w:pPr>
        <w:ind w:right="-92"/>
        <w:jc w:val="both"/>
        <w:rPr>
          <w:rFonts w:ascii="Arial" w:eastAsia="Arial" w:hAnsi="Arial" w:cs="Arial"/>
          <w:sz w:val="22"/>
          <w:szCs w:val="22"/>
        </w:rPr>
      </w:pPr>
    </w:p>
    <w:p w14:paraId="693D21CF" w14:textId="77777777" w:rsidR="003A3646" w:rsidRPr="006E1CD3" w:rsidRDefault="005A2B48">
      <w:pPr>
        <w:ind w:right="-92"/>
        <w:jc w:val="both"/>
        <w:rPr>
          <w:rFonts w:ascii="Arial" w:eastAsia="Arial" w:hAnsi="Arial" w:cs="Arial"/>
          <w:sz w:val="22"/>
          <w:szCs w:val="22"/>
        </w:rPr>
      </w:pPr>
      <w:r w:rsidRPr="006E1CD3">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693D21D0" w14:textId="77777777" w:rsidR="003A3646" w:rsidRPr="006E1CD3" w:rsidRDefault="003A3646">
      <w:pPr>
        <w:ind w:right="-92"/>
        <w:jc w:val="both"/>
        <w:rPr>
          <w:rFonts w:ascii="Arial" w:eastAsia="Arial" w:hAnsi="Arial" w:cs="Arial"/>
          <w:sz w:val="22"/>
          <w:szCs w:val="22"/>
        </w:rPr>
      </w:pPr>
    </w:p>
    <w:p w14:paraId="693D21D1" w14:textId="77777777" w:rsidR="003A3646" w:rsidRPr="006E1CD3" w:rsidRDefault="005A2B48">
      <w:pPr>
        <w:pBdr>
          <w:top w:val="nil"/>
          <w:left w:val="nil"/>
          <w:bottom w:val="nil"/>
          <w:right w:val="nil"/>
          <w:between w:val="nil"/>
        </w:pBdr>
        <w:ind w:right="-92"/>
        <w:jc w:val="both"/>
        <w:rPr>
          <w:rFonts w:ascii="Arial" w:eastAsia="Arial" w:hAnsi="Arial" w:cs="Arial"/>
          <w:sz w:val="22"/>
          <w:szCs w:val="22"/>
        </w:rPr>
      </w:pPr>
      <w:r w:rsidRPr="006E1CD3">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sidRPr="006E1CD3">
        <w:rPr>
          <w:rFonts w:ascii="Arial" w:eastAsia="Arial" w:hAnsi="Arial" w:cs="Arial"/>
          <w:b/>
          <w:bCs/>
          <w:sz w:val="22"/>
          <w:szCs w:val="22"/>
          <w:u w:val="single"/>
        </w:rPr>
        <w:t>incumplan las órdenes</w:t>
      </w:r>
      <w:r w:rsidRPr="006E1CD3">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693D21D2" w14:textId="77777777" w:rsidR="003A3646" w:rsidRPr="006E1CD3" w:rsidRDefault="003A3646">
      <w:pPr>
        <w:pBdr>
          <w:top w:val="nil"/>
          <w:left w:val="nil"/>
          <w:bottom w:val="nil"/>
          <w:right w:val="nil"/>
          <w:between w:val="nil"/>
        </w:pBdr>
        <w:ind w:left="720" w:right="-92"/>
        <w:jc w:val="both"/>
        <w:rPr>
          <w:rFonts w:ascii="Arial" w:eastAsia="Arial" w:hAnsi="Arial" w:cs="Arial"/>
          <w:sz w:val="22"/>
          <w:szCs w:val="22"/>
        </w:rPr>
      </w:pPr>
    </w:p>
    <w:p w14:paraId="693D21D3" w14:textId="77777777" w:rsidR="003A3646" w:rsidRPr="006E1CD3" w:rsidRDefault="005A2B48">
      <w:pPr>
        <w:jc w:val="both"/>
        <w:rPr>
          <w:rFonts w:ascii="Arial" w:eastAsia="Arial" w:hAnsi="Arial" w:cs="Arial"/>
          <w:sz w:val="22"/>
          <w:szCs w:val="22"/>
        </w:rPr>
      </w:pPr>
      <w:bookmarkStart w:id="10" w:name="_heading=h.1t3h5sf" w:colFirst="0" w:colLast="0"/>
      <w:bookmarkEnd w:id="10"/>
      <w:r w:rsidRPr="006E1CD3">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 2125 del 25 de septiembre de 2019, “</w:t>
      </w:r>
      <w:r w:rsidRPr="006E1CD3">
        <w:rPr>
          <w:rFonts w:ascii="Arial" w:eastAsia="Arial" w:hAnsi="Arial" w:cs="Arial"/>
          <w:i/>
          <w:iCs/>
          <w:sz w:val="22"/>
          <w:szCs w:val="22"/>
        </w:rPr>
        <w:t>Por la cual se impone una sanción y se imparte una orden</w:t>
      </w:r>
      <w:r w:rsidRPr="006E1CD3">
        <w:rPr>
          <w:rFonts w:ascii="Arial" w:eastAsia="Arial" w:hAnsi="Arial" w:cs="Arial"/>
          <w:sz w:val="22"/>
          <w:szCs w:val="22"/>
        </w:rPr>
        <w:t>”.</w:t>
      </w:r>
    </w:p>
    <w:p w14:paraId="693D21D4" w14:textId="77777777" w:rsidR="003A3646" w:rsidRPr="006E1CD3" w:rsidRDefault="003A3646">
      <w:pPr>
        <w:jc w:val="both"/>
        <w:rPr>
          <w:rFonts w:ascii="Arial" w:eastAsia="Arial" w:hAnsi="Arial" w:cs="Arial"/>
          <w:sz w:val="22"/>
          <w:szCs w:val="22"/>
        </w:rPr>
      </w:pPr>
    </w:p>
    <w:p w14:paraId="693D21D5" w14:textId="77777777" w:rsidR="003A3646" w:rsidRPr="006E1CD3" w:rsidRDefault="005A2B48">
      <w:pPr>
        <w:widowControl w:val="0"/>
        <w:jc w:val="center"/>
        <w:rPr>
          <w:rFonts w:ascii="Arial" w:eastAsia="Arial" w:hAnsi="Arial" w:cs="Arial"/>
          <w:b/>
          <w:bCs/>
          <w:sz w:val="22"/>
          <w:szCs w:val="22"/>
        </w:rPr>
      </w:pPr>
      <w:r w:rsidRPr="006E1CD3">
        <w:rPr>
          <w:rFonts w:ascii="Arial" w:eastAsia="Arial" w:hAnsi="Arial" w:cs="Arial"/>
          <w:b/>
          <w:bCs/>
          <w:sz w:val="22"/>
          <w:szCs w:val="22"/>
        </w:rPr>
        <w:t>ANÁLISIS PROBATORIO</w:t>
      </w:r>
    </w:p>
    <w:p w14:paraId="693D21D6" w14:textId="77777777" w:rsidR="003A3646" w:rsidRPr="006E1CD3" w:rsidRDefault="003A3646">
      <w:pPr>
        <w:ind w:right="50"/>
        <w:jc w:val="both"/>
        <w:rPr>
          <w:rFonts w:ascii="Arial" w:eastAsia="Arial" w:hAnsi="Arial" w:cs="Arial"/>
          <w:sz w:val="22"/>
          <w:szCs w:val="22"/>
        </w:rPr>
      </w:pPr>
    </w:p>
    <w:p w14:paraId="693D21D7" w14:textId="4BDD5BD2" w:rsidR="003A3646" w:rsidRPr="006E1CD3" w:rsidRDefault="005A2B48">
      <w:pPr>
        <w:ind w:right="50"/>
        <w:jc w:val="both"/>
        <w:rPr>
          <w:rFonts w:ascii="Arial" w:eastAsia="Arial" w:hAnsi="Arial" w:cs="Arial"/>
          <w:sz w:val="22"/>
          <w:szCs w:val="22"/>
        </w:rPr>
      </w:pPr>
      <w:r w:rsidRPr="006E1CD3">
        <w:rPr>
          <w:rFonts w:ascii="Arial" w:eastAsia="Arial" w:hAnsi="Arial" w:cs="Arial"/>
          <w:sz w:val="22"/>
          <w:szCs w:val="22"/>
        </w:rPr>
        <w:lastRenderedPageBreak/>
        <w:t xml:space="preserve">Dentro de la actuación administrativa y las pruebas que reposan en el expediente, se tiene que la sociedad enajenadora URBANIZADORA MARVAL S.A.S, contaba con un término de tres (3) </w:t>
      </w:r>
      <w:r w:rsidR="00B442A7" w:rsidRPr="006E1CD3">
        <w:rPr>
          <w:rFonts w:ascii="Arial" w:eastAsia="Arial" w:hAnsi="Arial" w:cs="Arial"/>
          <w:sz w:val="22"/>
          <w:szCs w:val="22"/>
        </w:rPr>
        <w:t>meses</w:t>
      </w:r>
      <w:r w:rsidRPr="006E1CD3">
        <w:rPr>
          <w:rFonts w:ascii="Arial" w:eastAsia="Arial" w:hAnsi="Arial" w:cs="Arial"/>
          <w:sz w:val="22"/>
          <w:szCs w:val="22"/>
        </w:rPr>
        <w:t>, para realizar los trabajos tendientes a solucionar en forma definitiva los hechos que afectan las áreas privadas del apartamento 409 de la torre 8 del proyecto de vivienda AGRUPACIÓN RESIDENCIAL PRADERA DE SAN CARLOS - PROPIEDAD HORIZONTAL.</w:t>
      </w:r>
    </w:p>
    <w:p w14:paraId="693D21D8" w14:textId="77777777" w:rsidR="003A3646" w:rsidRPr="006E1CD3" w:rsidRDefault="003A3646">
      <w:pPr>
        <w:ind w:right="50"/>
        <w:jc w:val="both"/>
        <w:rPr>
          <w:rFonts w:ascii="Arial" w:eastAsia="Arial" w:hAnsi="Arial" w:cs="Arial"/>
          <w:sz w:val="22"/>
          <w:szCs w:val="22"/>
        </w:rPr>
      </w:pPr>
    </w:p>
    <w:p w14:paraId="693D21D9" w14:textId="77777777" w:rsidR="003A3646" w:rsidRPr="006E1CD3" w:rsidRDefault="005A2B48">
      <w:pPr>
        <w:jc w:val="both"/>
        <w:rPr>
          <w:rFonts w:ascii="Arial" w:eastAsia="Arial" w:hAnsi="Arial" w:cs="Arial"/>
          <w:sz w:val="22"/>
          <w:szCs w:val="22"/>
        </w:rPr>
      </w:pPr>
      <w:r w:rsidRPr="006E1CD3">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2125 del 25 de septiembre de 2019.</w:t>
      </w:r>
    </w:p>
    <w:p w14:paraId="693D21DA" w14:textId="20E4E6E2" w:rsidR="003A3646" w:rsidRPr="006E1CD3" w:rsidRDefault="005A2B48">
      <w:pPr>
        <w:spacing w:before="240" w:after="240"/>
        <w:jc w:val="both"/>
        <w:rPr>
          <w:rFonts w:ascii="Arial" w:eastAsia="Arial" w:hAnsi="Arial" w:cs="Arial"/>
          <w:sz w:val="22"/>
          <w:szCs w:val="22"/>
        </w:rPr>
      </w:pPr>
      <w:r w:rsidRPr="006E1CD3">
        <w:rPr>
          <w:rFonts w:ascii="Arial" w:eastAsia="Arial" w:hAnsi="Arial" w:cs="Arial"/>
          <w:sz w:val="22"/>
          <w:szCs w:val="22"/>
        </w:rPr>
        <w:t xml:space="preserve">Se cuenta con actuaciones y pronunciamientos dentro del expediente; sin embargo, </w:t>
      </w:r>
      <w:r w:rsidR="00C558B5" w:rsidRPr="006E1CD3">
        <w:rPr>
          <w:rFonts w:ascii="Arial" w:eastAsia="Arial" w:hAnsi="Arial" w:cs="Arial"/>
          <w:sz w:val="22"/>
          <w:szCs w:val="22"/>
        </w:rPr>
        <w:t xml:space="preserve">de los mismos </w:t>
      </w:r>
      <w:r w:rsidRPr="006E1CD3">
        <w:rPr>
          <w:rFonts w:ascii="Arial" w:eastAsia="Arial" w:hAnsi="Arial" w:cs="Arial"/>
          <w:sz w:val="22"/>
          <w:szCs w:val="22"/>
        </w:rPr>
        <w:t>no se evidencia el cumplimiento efectivo de las obras ordenadas para subsanar los hechos objeto de la orden de hacer. En ejercicio de las funciones de seguimiento, este Despacho profirió requerimientos mediante radicados 2-2024-60756 y 2-2024-60898 del 26 de diciembre de 2024, así como los radicados 2-2025-73363 y 2-2025-74107 del 7 y 11 de noviembre de 2025, respectivamente, a efectos de que se acreditará el cumplimiento de lo ordenado.</w:t>
      </w:r>
    </w:p>
    <w:p w14:paraId="693D21DB" w14:textId="5E04A641" w:rsidR="003A3646" w:rsidRPr="006E1CD3" w:rsidRDefault="005A2B48">
      <w:pPr>
        <w:spacing w:before="240" w:after="240"/>
        <w:jc w:val="both"/>
        <w:rPr>
          <w:rFonts w:ascii="Arial" w:eastAsia="Arial" w:hAnsi="Arial" w:cs="Arial"/>
          <w:sz w:val="22"/>
          <w:szCs w:val="22"/>
        </w:rPr>
      </w:pPr>
      <w:r w:rsidRPr="006E1CD3">
        <w:rPr>
          <w:rFonts w:ascii="Arial" w:eastAsia="Arial" w:hAnsi="Arial" w:cs="Arial"/>
          <w:sz w:val="22"/>
          <w:szCs w:val="22"/>
        </w:rPr>
        <w:t xml:space="preserve">Pese a que la Resolución No. 578 del 07 de junio de 2023 y la Resolución No. 297 del 09 de junio de 2025 se encuentran debidamente ejecutoriadas, y aun cuando se ha alegado la subsanación </w:t>
      </w:r>
      <w:r w:rsidR="008A3464" w:rsidRPr="006E1CD3">
        <w:rPr>
          <w:rFonts w:ascii="Arial" w:eastAsia="Arial" w:hAnsi="Arial" w:cs="Arial"/>
          <w:sz w:val="22"/>
          <w:szCs w:val="22"/>
        </w:rPr>
        <w:t xml:space="preserve">mediante acta de orden de trabajo </w:t>
      </w:r>
      <w:r w:rsidR="006F637D" w:rsidRPr="006E1CD3">
        <w:rPr>
          <w:rFonts w:ascii="Arial" w:eastAsia="Arial" w:hAnsi="Arial" w:cs="Arial"/>
          <w:sz w:val="22"/>
          <w:szCs w:val="22"/>
        </w:rPr>
        <w:t>No. 100441, la misma corresponde al año 2017</w:t>
      </w:r>
      <w:r w:rsidRPr="006E1CD3">
        <w:rPr>
          <w:rFonts w:ascii="Arial" w:eastAsia="Arial" w:hAnsi="Arial" w:cs="Arial"/>
          <w:sz w:val="22"/>
          <w:szCs w:val="22"/>
        </w:rPr>
        <w:t xml:space="preserve">, </w:t>
      </w:r>
      <w:r w:rsidR="00721F77" w:rsidRPr="006E1CD3">
        <w:rPr>
          <w:rFonts w:ascii="Arial" w:eastAsia="Arial" w:hAnsi="Arial" w:cs="Arial"/>
          <w:sz w:val="22"/>
          <w:szCs w:val="22"/>
        </w:rPr>
        <w:t xml:space="preserve">y </w:t>
      </w:r>
      <w:r w:rsidRPr="006E1CD3">
        <w:rPr>
          <w:rFonts w:ascii="Arial" w:eastAsia="Arial" w:hAnsi="Arial" w:cs="Arial"/>
          <w:sz w:val="22"/>
          <w:szCs w:val="22"/>
        </w:rPr>
        <w:t xml:space="preserve">el </w:t>
      </w:r>
      <w:r w:rsidR="00721F77" w:rsidRPr="006E1CD3">
        <w:rPr>
          <w:rFonts w:ascii="Arial" w:eastAsia="Arial" w:hAnsi="Arial" w:cs="Arial"/>
          <w:sz w:val="22"/>
          <w:szCs w:val="22"/>
        </w:rPr>
        <w:t>I</w:t>
      </w:r>
      <w:r w:rsidRPr="006E1CD3">
        <w:rPr>
          <w:rFonts w:ascii="Arial" w:eastAsia="Arial" w:hAnsi="Arial" w:cs="Arial"/>
          <w:sz w:val="22"/>
          <w:szCs w:val="22"/>
        </w:rPr>
        <w:t xml:space="preserve">nforme de </w:t>
      </w:r>
      <w:r w:rsidR="00721F77" w:rsidRPr="006E1CD3">
        <w:rPr>
          <w:rFonts w:ascii="Arial" w:eastAsia="Arial" w:hAnsi="Arial" w:cs="Arial"/>
          <w:sz w:val="22"/>
          <w:szCs w:val="22"/>
        </w:rPr>
        <w:t>V</w:t>
      </w:r>
      <w:r w:rsidRPr="006E1CD3">
        <w:rPr>
          <w:rFonts w:ascii="Arial" w:eastAsia="Arial" w:hAnsi="Arial" w:cs="Arial"/>
          <w:sz w:val="22"/>
          <w:szCs w:val="22"/>
        </w:rPr>
        <w:t xml:space="preserve">erificación </w:t>
      </w:r>
      <w:r w:rsidR="00721F77" w:rsidRPr="006E1CD3">
        <w:rPr>
          <w:rFonts w:ascii="Arial" w:eastAsia="Arial" w:hAnsi="Arial" w:cs="Arial"/>
          <w:sz w:val="22"/>
          <w:szCs w:val="22"/>
        </w:rPr>
        <w:t xml:space="preserve">de hechos </w:t>
      </w:r>
      <w:r w:rsidRPr="006E1CD3">
        <w:rPr>
          <w:rFonts w:ascii="Arial" w:eastAsia="Arial" w:hAnsi="Arial" w:cs="Arial"/>
          <w:sz w:val="22"/>
          <w:szCs w:val="22"/>
        </w:rPr>
        <w:t xml:space="preserve">obrante en el expediente </w:t>
      </w:r>
      <w:r w:rsidR="00BC32B0">
        <w:rPr>
          <w:rFonts w:ascii="Arial" w:eastAsia="Arial" w:hAnsi="Arial" w:cs="Arial"/>
          <w:sz w:val="22"/>
          <w:szCs w:val="22"/>
        </w:rPr>
        <w:t xml:space="preserve">es del año 2024, </w:t>
      </w:r>
      <w:r w:rsidRPr="006E1CD3">
        <w:rPr>
          <w:rFonts w:ascii="Arial" w:eastAsia="Arial" w:hAnsi="Arial" w:cs="Arial"/>
          <w:sz w:val="22"/>
          <w:szCs w:val="22"/>
        </w:rPr>
        <w:t xml:space="preserve">continúa evidenciando la persistencia de las situaciones que dieron lugar a la orden impartida. En consecuencia, no se acredita su </w:t>
      </w:r>
      <w:r w:rsidR="00721F77" w:rsidRPr="006E1CD3">
        <w:rPr>
          <w:rFonts w:ascii="Arial" w:eastAsia="Arial" w:hAnsi="Arial" w:cs="Arial"/>
          <w:sz w:val="22"/>
          <w:szCs w:val="22"/>
        </w:rPr>
        <w:t>subsanación</w:t>
      </w:r>
      <w:r w:rsidRPr="006E1CD3">
        <w:rPr>
          <w:rFonts w:ascii="Arial" w:eastAsia="Arial" w:hAnsi="Arial" w:cs="Arial"/>
          <w:sz w:val="22"/>
          <w:szCs w:val="22"/>
        </w:rPr>
        <w:t>, por lo que persiste el incumplimiento advertido.</w:t>
      </w:r>
    </w:p>
    <w:p w14:paraId="1A636A34" w14:textId="761A068B" w:rsidR="002767DC" w:rsidRPr="006E1CD3" w:rsidRDefault="002767DC" w:rsidP="002767DC">
      <w:pPr>
        <w:ind w:right="-92"/>
        <w:jc w:val="both"/>
        <w:rPr>
          <w:rFonts w:ascii="Arial" w:eastAsia="Arial" w:hAnsi="Arial" w:cs="Arial"/>
          <w:sz w:val="22"/>
          <w:szCs w:val="22"/>
        </w:rPr>
      </w:pPr>
      <w:r w:rsidRPr="006E1CD3">
        <w:rPr>
          <w:rFonts w:ascii="Arial" w:hAnsi="Arial" w:cs="Arial"/>
          <w:sz w:val="22"/>
          <w:szCs w:val="22"/>
          <w:shd w:val="clear" w:color="auto" w:fill="FFFFFF"/>
        </w:rPr>
        <w:t>Lo anterior encuentra sustento en</w:t>
      </w:r>
      <w:r w:rsidRPr="006E1CD3">
        <w:rPr>
          <w:rFonts w:ascii="Arial" w:eastAsia="Arial" w:hAnsi="Arial" w:cs="Arial"/>
          <w:sz w:val="22"/>
          <w:szCs w:val="22"/>
        </w:rPr>
        <w:t xml:space="preserve"> el Informe de Verificación de Hechos No. 24-594 del 13 de diciembre de 2024, que evidenció los siguientes: </w:t>
      </w:r>
    </w:p>
    <w:p w14:paraId="72EE109F" w14:textId="77777777" w:rsidR="002767DC" w:rsidRPr="006E1CD3" w:rsidRDefault="002767DC" w:rsidP="002767DC">
      <w:pPr>
        <w:ind w:right="-92"/>
        <w:jc w:val="both"/>
        <w:rPr>
          <w:rFonts w:ascii="Arial" w:eastAsia="Arial" w:hAnsi="Arial" w:cs="Arial"/>
          <w:sz w:val="22"/>
          <w:szCs w:val="22"/>
        </w:rPr>
      </w:pPr>
    </w:p>
    <w:p w14:paraId="3200ABC2" w14:textId="77777777" w:rsidR="002767DC" w:rsidRPr="006E1CD3" w:rsidRDefault="002767DC" w:rsidP="002767DC">
      <w:pPr>
        <w:ind w:right="-92"/>
        <w:jc w:val="center"/>
        <w:rPr>
          <w:rFonts w:ascii="Arial" w:eastAsia="Arial" w:hAnsi="Arial" w:cs="Arial"/>
          <w:b/>
          <w:bCs/>
          <w:i/>
          <w:iCs/>
          <w:sz w:val="22"/>
          <w:szCs w:val="22"/>
        </w:rPr>
      </w:pPr>
      <w:r w:rsidRPr="006E1CD3">
        <w:rPr>
          <w:rFonts w:ascii="Arial" w:eastAsia="Arial" w:hAnsi="Arial" w:cs="Arial"/>
          <w:b/>
          <w:bCs/>
          <w:i/>
          <w:iCs/>
          <w:sz w:val="22"/>
          <w:szCs w:val="22"/>
        </w:rPr>
        <w:t xml:space="preserve">HALLAZGOS </w:t>
      </w:r>
    </w:p>
    <w:p w14:paraId="5EC9FF07" w14:textId="77777777" w:rsidR="002767DC" w:rsidRPr="006E1CD3" w:rsidRDefault="002767DC" w:rsidP="002767DC">
      <w:pPr>
        <w:ind w:right="-92"/>
        <w:jc w:val="center"/>
        <w:rPr>
          <w:rFonts w:ascii="Arial" w:eastAsia="Arial" w:hAnsi="Arial" w:cs="Arial"/>
          <w:b/>
          <w:bCs/>
          <w:i/>
          <w:iCs/>
          <w:sz w:val="22"/>
          <w:szCs w:val="22"/>
        </w:rPr>
      </w:pPr>
    </w:p>
    <w:p w14:paraId="06498950" w14:textId="77777777" w:rsidR="002767DC" w:rsidRPr="006E1CD3" w:rsidRDefault="002767DC" w:rsidP="002767DC">
      <w:pPr>
        <w:ind w:left="680" w:right="680"/>
        <w:jc w:val="both"/>
        <w:rPr>
          <w:rFonts w:ascii="Arial" w:eastAsia="Arial" w:hAnsi="Arial" w:cs="Arial"/>
          <w:b/>
          <w:bCs/>
          <w:i/>
          <w:iCs/>
          <w:sz w:val="22"/>
          <w:szCs w:val="22"/>
        </w:rPr>
      </w:pPr>
      <w:r w:rsidRPr="006E1CD3">
        <w:rPr>
          <w:rFonts w:ascii="Arial" w:eastAsia="Arial" w:hAnsi="Arial" w:cs="Arial"/>
          <w:b/>
          <w:bCs/>
          <w:i/>
          <w:iCs/>
          <w:sz w:val="22"/>
          <w:szCs w:val="22"/>
        </w:rPr>
        <w:t>1. DESNIVEL PISO</w:t>
      </w:r>
    </w:p>
    <w:p w14:paraId="4E256667" w14:textId="77777777" w:rsidR="002767DC" w:rsidRPr="006E1CD3" w:rsidRDefault="002767DC" w:rsidP="002767DC">
      <w:pPr>
        <w:ind w:left="680" w:right="680"/>
        <w:jc w:val="both"/>
        <w:rPr>
          <w:rFonts w:ascii="Arial" w:eastAsia="Arial" w:hAnsi="Arial" w:cs="Arial"/>
          <w:i/>
          <w:iCs/>
          <w:sz w:val="22"/>
          <w:szCs w:val="22"/>
        </w:rPr>
      </w:pPr>
    </w:p>
    <w:p w14:paraId="0BD65AEF" w14:textId="77777777" w:rsidR="002767DC" w:rsidRPr="006E1CD3" w:rsidRDefault="002767DC" w:rsidP="002767DC">
      <w:pPr>
        <w:ind w:left="680" w:right="680"/>
        <w:jc w:val="both"/>
        <w:rPr>
          <w:rFonts w:ascii="Arial" w:eastAsia="Arial" w:hAnsi="Arial" w:cs="Arial"/>
          <w:i/>
          <w:iCs/>
          <w:sz w:val="22"/>
          <w:szCs w:val="22"/>
        </w:rPr>
      </w:pPr>
      <w:r w:rsidRPr="006E1CD3">
        <w:rPr>
          <w:rFonts w:ascii="Arial" w:eastAsia="Arial" w:hAnsi="Arial" w:cs="Arial"/>
          <w:i/>
          <w:iCs/>
          <w:sz w:val="22"/>
          <w:szCs w:val="22"/>
        </w:rPr>
        <w:t xml:space="preserve">Durante el recorrido realizado en las diferentes áreas que conforman el apartamento, se pudo observar que la placa de contrapiso fue elaborada posterior a la intervención del pilotaje de reforzamiento realizada en el primer piso de la torre, dicha placa de contrapiso se encuentra nivelada, pero sin ningún tipo de acabado. Por tanto, se estima que el hecho </w:t>
      </w:r>
      <w:r w:rsidRPr="006E1CD3">
        <w:rPr>
          <w:rFonts w:ascii="Arial" w:eastAsia="Arial" w:hAnsi="Arial" w:cs="Arial"/>
          <w:b/>
          <w:bCs/>
          <w:i/>
          <w:iCs/>
          <w:sz w:val="22"/>
          <w:szCs w:val="22"/>
        </w:rPr>
        <w:t>PERSISTE</w:t>
      </w:r>
      <w:r w:rsidRPr="006E1CD3">
        <w:rPr>
          <w:rFonts w:ascii="Arial" w:eastAsia="Arial" w:hAnsi="Arial" w:cs="Arial"/>
          <w:i/>
          <w:iCs/>
          <w:sz w:val="22"/>
          <w:szCs w:val="22"/>
        </w:rPr>
        <w:t>.</w:t>
      </w:r>
    </w:p>
    <w:p w14:paraId="396B2A50" w14:textId="77777777" w:rsidR="002767DC" w:rsidRPr="006E1CD3" w:rsidRDefault="002767DC" w:rsidP="002767DC">
      <w:pPr>
        <w:ind w:left="680" w:right="680"/>
        <w:jc w:val="both"/>
        <w:rPr>
          <w:rFonts w:ascii="Arial" w:eastAsia="Arial" w:hAnsi="Arial" w:cs="Arial"/>
          <w:i/>
          <w:iCs/>
          <w:sz w:val="22"/>
          <w:szCs w:val="22"/>
        </w:rPr>
      </w:pPr>
    </w:p>
    <w:p w14:paraId="5F430E56" w14:textId="77777777" w:rsidR="002767DC" w:rsidRPr="006E1CD3" w:rsidRDefault="002767DC" w:rsidP="002767DC">
      <w:pPr>
        <w:ind w:left="680" w:right="680"/>
        <w:jc w:val="both"/>
        <w:rPr>
          <w:rFonts w:ascii="Arial" w:eastAsia="Arial" w:hAnsi="Arial" w:cs="Arial"/>
          <w:b/>
          <w:bCs/>
          <w:i/>
          <w:iCs/>
          <w:sz w:val="22"/>
          <w:szCs w:val="22"/>
        </w:rPr>
      </w:pPr>
      <w:r w:rsidRPr="006E1CD3">
        <w:rPr>
          <w:rFonts w:ascii="Arial" w:eastAsia="Arial" w:hAnsi="Arial" w:cs="Arial"/>
          <w:b/>
          <w:bCs/>
          <w:i/>
          <w:iCs/>
          <w:sz w:val="22"/>
          <w:szCs w:val="22"/>
        </w:rPr>
        <w:t>2. FISURA EN MURO BAÑO</w:t>
      </w:r>
    </w:p>
    <w:p w14:paraId="2A89D9D4" w14:textId="77777777" w:rsidR="002767DC" w:rsidRPr="006E1CD3" w:rsidRDefault="002767DC" w:rsidP="002767DC">
      <w:pPr>
        <w:ind w:left="680" w:right="680"/>
        <w:jc w:val="both"/>
        <w:rPr>
          <w:rFonts w:ascii="Arial" w:eastAsia="Arial" w:hAnsi="Arial" w:cs="Arial"/>
          <w:i/>
          <w:iCs/>
          <w:sz w:val="22"/>
          <w:szCs w:val="22"/>
        </w:rPr>
      </w:pPr>
    </w:p>
    <w:p w14:paraId="057652AA" w14:textId="77777777" w:rsidR="002767DC" w:rsidRPr="006E1CD3" w:rsidRDefault="002767DC" w:rsidP="002767DC">
      <w:pPr>
        <w:ind w:left="680" w:right="680"/>
        <w:jc w:val="both"/>
        <w:rPr>
          <w:rFonts w:ascii="Arial" w:eastAsia="Arial" w:hAnsi="Arial" w:cs="Arial"/>
          <w:i/>
          <w:iCs/>
          <w:sz w:val="22"/>
          <w:szCs w:val="22"/>
        </w:rPr>
      </w:pPr>
      <w:r w:rsidRPr="006E1CD3">
        <w:rPr>
          <w:rFonts w:ascii="Arial" w:eastAsia="Arial" w:hAnsi="Arial" w:cs="Arial"/>
          <w:i/>
          <w:iCs/>
          <w:sz w:val="22"/>
          <w:szCs w:val="22"/>
        </w:rPr>
        <w:lastRenderedPageBreak/>
        <w:t xml:space="preserve">Durante la visita se pudo observar que el apartamento se encuentra pañetado parcialmente, por lo que no es posible evidenciar presencia de fisuras o grietas, más sin embargo queda pendiente parte de un muro por construir, pañetar y enchapar. Por tal razón se puede determinar que el hecho relacionado con las grietas o fisuras en muros </w:t>
      </w:r>
      <w:r w:rsidRPr="006E1CD3">
        <w:rPr>
          <w:rFonts w:ascii="Arial" w:eastAsia="Arial" w:hAnsi="Arial" w:cs="Arial"/>
          <w:b/>
          <w:bCs/>
          <w:i/>
          <w:iCs/>
          <w:sz w:val="22"/>
          <w:szCs w:val="22"/>
        </w:rPr>
        <w:t>PERSISTE</w:t>
      </w:r>
      <w:r w:rsidRPr="006E1CD3">
        <w:rPr>
          <w:rFonts w:ascii="Arial" w:eastAsia="Arial" w:hAnsi="Arial" w:cs="Arial"/>
          <w:i/>
          <w:iCs/>
          <w:sz w:val="22"/>
          <w:szCs w:val="22"/>
        </w:rPr>
        <w:t>.</w:t>
      </w:r>
    </w:p>
    <w:p w14:paraId="274E0386" w14:textId="77777777" w:rsidR="002767DC" w:rsidRPr="006E1CD3" w:rsidRDefault="002767DC" w:rsidP="002767DC">
      <w:pPr>
        <w:ind w:left="680" w:right="680"/>
        <w:jc w:val="both"/>
        <w:rPr>
          <w:rFonts w:ascii="Arial" w:eastAsia="Arial" w:hAnsi="Arial" w:cs="Arial"/>
          <w:i/>
          <w:iCs/>
          <w:sz w:val="22"/>
          <w:szCs w:val="22"/>
        </w:rPr>
      </w:pPr>
    </w:p>
    <w:p w14:paraId="76E9F542" w14:textId="77777777" w:rsidR="002767DC" w:rsidRPr="006E1CD3" w:rsidRDefault="002767DC" w:rsidP="002767DC">
      <w:pPr>
        <w:ind w:left="680" w:right="680"/>
        <w:jc w:val="both"/>
        <w:rPr>
          <w:rFonts w:ascii="Arial" w:eastAsia="Arial" w:hAnsi="Arial" w:cs="Arial"/>
          <w:i/>
          <w:iCs/>
          <w:sz w:val="22"/>
          <w:szCs w:val="22"/>
        </w:rPr>
      </w:pPr>
      <w:r w:rsidRPr="006E1CD3">
        <w:rPr>
          <w:rFonts w:ascii="Arial" w:eastAsia="Arial" w:hAnsi="Arial" w:cs="Arial"/>
          <w:i/>
          <w:iCs/>
          <w:sz w:val="22"/>
          <w:szCs w:val="22"/>
        </w:rPr>
        <w:t>De lo previamente citado del informe de verificación anterior, se debe indicar que las afectaciones encontradas en el inmueble se daban como consecuencia de las "condiciones de asentamientos" que se presentaban en la torre. Y que con ellas se infería que el funcionamiento de la estructura del edificio se veía afectada, por cuanto las condiciones anormales observadas afectarían el comportamiento de la misma pues las condiciones iniciales variaron.</w:t>
      </w:r>
    </w:p>
    <w:p w14:paraId="0872CD0E" w14:textId="77777777" w:rsidR="002767DC" w:rsidRPr="006E1CD3" w:rsidRDefault="002767DC" w:rsidP="002767DC">
      <w:pPr>
        <w:ind w:left="680" w:right="680"/>
        <w:jc w:val="both"/>
        <w:rPr>
          <w:rFonts w:ascii="Arial" w:eastAsia="Arial" w:hAnsi="Arial" w:cs="Arial"/>
          <w:i/>
          <w:iCs/>
          <w:sz w:val="22"/>
          <w:szCs w:val="22"/>
        </w:rPr>
      </w:pPr>
    </w:p>
    <w:p w14:paraId="3731511A" w14:textId="77777777" w:rsidR="002767DC" w:rsidRPr="006E1CD3" w:rsidRDefault="002767DC" w:rsidP="002767DC">
      <w:pPr>
        <w:ind w:left="680" w:right="680"/>
        <w:jc w:val="both"/>
        <w:rPr>
          <w:rFonts w:ascii="Arial" w:eastAsia="Arial" w:hAnsi="Arial" w:cs="Arial"/>
          <w:i/>
          <w:iCs/>
          <w:sz w:val="22"/>
          <w:szCs w:val="22"/>
        </w:rPr>
      </w:pPr>
      <w:r w:rsidRPr="006E1CD3">
        <w:rPr>
          <w:rFonts w:ascii="Arial" w:eastAsia="Arial" w:hAnsi="Arial" w:cs="Arial"/>
          <w:i/>
          <w:iCs/>
          <w:sz w:val="22"/>
          <w:szCs w:val="22"/>
        </w:rPr>
        <w:t xml:space="preserve"> Por lo que la afectación se enmarcaba en el incumplimiento de lo prescrito en el Art. 1 de la Ley 400 de 1997. Si bien es cierto que la afectación recae sobre la estructura de la edificación y que en el informe previo se indica que no se evidenciaban afectaciones a esta. También lo es, que los hallazgos de ese informe son como consecuencia de las afectaciones generadas a la estructura, que por estar vinculadas a ella se derivan en las afectaciones encontradas.</w:t>
      </w:r>
    </w:p>
    <w:p w14:paraId="7A012311" w14:textId="77777777" w:rsidR="002767DC" w:rsidRPr="006E1CD3" w:rsidRDefault="002767DC" w:rsidP="002767DC">
      <w:pPr>
        <w:ind w:left="680" w:right="680"/>
        <w:jc w:val="both"/>
        <w:rPr>
          <w:rFonts w:ascii="Arial" w:eastAsia="Arial" w:hAnsi="Arial" w:cs="Arial"/>
          <w:i/>
          <w:iCs/>
          <w:sz w:val="22"/>
          <w:szCs w:val="22"/>
        </w:rPr>
      </w:pPr>
    </w:p>
    <w:p w14:paraId="18AB2E1A" w14:textId="77777777" w:rsidR="002767DC" w:rsidRPr="006E1CD3" w:rsidRDefault="002767DC" w:rsidP="002767DC">
      <w:pPr>
        <w:ind w:left="680" w:right="680"/>
        <w:jc w:val="both"/>
        <w:rPr>
          <w:rFonts w:ascii="Arial" w:eastAsia="Arial" w:hAnsi="Arial" w:cs="Arial"/>
          <w:i/>
          <w:iCs/>
          <w:sz w:val="22"/>
          <w:szCs w:val="22"/>
        </w:rPr>
      </w:pPr>
      <w:r w:rsidRPr="006E1CD3">
        <w:rPr>
          <w:rFonts w:ascii="Arial" w:eastAsia="Arial" w:hAnsi="Arial" w:cs="Arial"/>
          <w:i/>
          <w:iCs/>
          <w:sz w:val="22"/>
          <w:szCs w:val="22"/>
        </w:rPr>
        <w:t>En estas condiciones es claro que las afectaciones de las áreas comunes se refieren a los asentamientos diferenciales que se vienen presentando en el conjunto residencial, mientras que las afectaciones en el área privada, asociadas al mismo fenómeno, comprometen el hacinamiento de elementos estructurales y no estructurales, lo que genera un riesgo para la vida e integridad de los residentes, esto considerando que, de acuerdo a lo ya manifestado, el comportamiento esperado ante el evento de un sismo se ve alterado con respecto al cálculo inicial de la estructura.</w:t>
      </w:r>
    </w:p>
    <w:p w14:paraId="7A1456B6" w14:textId="77777777" w:rsidR="002767DC" w:rsidRPr="006E1CD3" w:rsidRDefault="002767DC" w:rsidP="002767DC">
      <w:pPr>
        <w:ind w:left="680" w:right="680"/>
        <w:jc w:val="both"/>
        <w:rPr>
          <w:rFonts w:ascii="Arial" w:eastAsia="Arial" w:hAnsi="Arial" w:cs="Arial"/>
          <w:i/>
          <w:iCs/>
          <w:sz w:val="22"/>
          <w:szCs w:val="22"/>
        </w:rPr>
      </w:pPr>
    </w:p>
    <w:p w14:paraId="6352251F" w14:textId="4A3AC087" w:rsidR="002767DC" w:rsidRPr="006E1CD3" w:rsidRDefault="002767DC" w:rsidP="002767DC">
      <w:pPr>
        <w:ind w:left="680" w:right="680"/>
        <w:jc w:val="both"/>
        <w:rPr>
          <w:rFonts w:ascii="Arial" w:eastAsia="Arial" w:hAnsi="Arial" w:cs="Arial"/>
          <w:i/>
          <w:iCs/>
          <w:sz w:val="22"/>
          <w:szCs w:val="22"/>
        </w:rPr>
      </w:pPr>
      <w:r w:rsidRPr="006E1CD3">
        <w:rPr>
          <w:rFonts w:ascii="Arial" w:eastAsia="Arial" w:hAnsi="Arial" w:cs="Arial"/>
          <w:i/>
          <w:iCs/>
          <w:sz w:val="22"/>
          <w:szCs w:val="22"/>
          <w:u w:val="single"/>
        </w:rPr>
        <w:t>Por lo anterior se puede concluir que los hechos persisten hasta tanto no se restablezcan las condiciones de los elementos que sufrieron las afectaciones como consecuencia de la variación en la estructura por efectos de los asentamientos descritos en el informe</w:t>
      </w:r>
      <w:r w:rsidRPr="006E1CD3">
        <w:rPr>
          <w:rFonts w:ascii="Arial" w:eastAsia="Arial" w:hAnsi="Arial" w:cs="Arial"/>
          <w:i/>
          <w:iCs/>
          <w:sz w:val="22"/>
          <w:szCs w:val="22"/>
        </w:rPr>
        <w:t>".</w:t>
      </w:r>
    </w:p>
    <w:p w14:paraId="44F7EBB3" w14:textId="77777777" w:rsidR="002767DC" w:rsidRPr="006E1CD3" w:rsidRDefault="002767DC" w:rsidP="002767DC">
      <w:pPr>
        <w:ind w:left="680" w:right="680"/>
        <w:jc w:val="both"/>
        <w:rPr>
          <w:rFonts w:ascii="Arial" w:eastAsia="Arial" w:hAnsi="Arial" w:cs="Arial"/>
          <w:i/>
          <w:iCs/>
          <w:sz w:val="22"/>
          <w:szCs w:val="22"/>
        </w:rPr>
      </w:pPr>
    </w:p>
    <w:p w14:paraId="69BD249C" w14:textId="7E44A4A4" w:rsidR="00BC32B0" w:rsidRDefault="00BC32B0" w:rsidP="005C7B17">
      <w:pPr>
        <w:spacing w:before="240" w:after="240"/>
        <w:jc w:val="both"/>
        <w:rPr>
          <w:rFonts w:ascii="Arial" w:eastAsia="Arial" w:hAnsi="Arial" w:cs="Arial"/>
          <w:sz w:val="22"/>
          <w:szCs w:val="22"/>
        </w:rPr>
      </w:pPr>
      <w:r>
        <w:rPr>
          <w:rFonts w:ascii="Arial" w:eastAsia="Arial" w:hAnsi="Arial" w:cs="Arial"/>
          <w:sz w:val="22"/>
          <w:szCs w:val="22"/>
        </w:rPr>
        <w:t xml:space="preserve">Es por esto que de acuerdo al informe de verificación de hechos </w:t>
      </w:r>
      <w:r w:rsidRPr="006E1CD3">
        <w:rPr>
          <w:rFonts w:ascii="Arial" w:eastAsia="Arial" w:hAnsi="Arial" w:cs="Arial"/>
          <w:sz w:val="22"/>
          <w:szCs w:val="22"/>
        </w:rPr>
        <w:t>24-594 del 13 de diciembre de 2024</w:t>
      </w:r>
      <w:r>
        <w:rPr>
          <w:rFonts w:ascii="Arial" w:eastAsia="Arial" w:hAnsi="Arial" w:cs="Arial"/>
          <w:sz w:val="22"/>
          <w:szCs w:val="22"/>
        </w:rPr>
        <w:t xml:space="preserve">, este determina con claridad que si bien la sancionada ha realizo obras dentro del inmueble objeto de la queja, estos no han sido culminados para que con esto sea subsanada la orden a de hacer. </w:t>
      </w:r>
    </w:p>
    <w:p w14:paraId="693D21DD" w14:textId="736AF81B" w:rsidR="003A3646" w:rsidRPr="006E1CD3" w:rsidRDefault="005A2B48" w:rsidP="005C7B17">
      <w:pPr>
        <w:spacing w:before="240" w:after="240"/>
        <w:jc w:val="both"/>
        <w:rPr>
          <w:rFonts w:ascii="Arial" w:eastAsia="Arial" w:hAnsi="Arial" w:cs="Arial"/>
          <w:sz w:val="22"/>
          <w:szCs w:val="22"/>
        </w:rPr>
      </w:pPr>
      <w:r w:rsidRPr="006E1CD3">
        <w:rPr>
          <w:rFonts w:ascii="Arial" w:eastAsia="Arial" w:hAnsi="Arial" w:cs="Arial"/>
          <w:sz w:val="22"/>
          <w:szCs w:val="22"/>
        </w:rPr>
        <w:lastRenderedPageBreak/>
        <w:t xml:space="preserve">Estas pruebas valoradas en conjunto bajo la sana crítica, siendo pertinentes, útiles y conducentes, llevan al operador administrativo a la creencia fehaciente de que la orden aún continúa sin ser acatada y superada. </w:t>
      </w:r>
    </w:p>
    <w:p w14:paraId="693D21DE" w14:textId="77777777" w:rsidR="003A3646" w:rsidRPr="006E1CD3" w:rsidRDefault="005A2B48">
      <w:pPr>
        <w:pBdr>
          <w:top w:val="nil"/>
          <w:left w:val="nil"/>
          <w:bottom w:val="nil"/>
          <w:right w:val="nil"/>
          <w:between w:val="nil"/>
        </w:pBdr>
        <w:jc w:val="both"/>
        <w:rPr>
          <w:rFonts w:ascii="Arial" w:eastAsia="Arial" w:hAnsi="Arial" w:cs="Arial"/>
          <w:sz w:val="22"/>
          <w:szCs w:val="22"/>
          <w:highlight w:val="white"/>
        </w:rPr>
      </w:pPr>
      <w:r w:rsidRPr="006E1CD3">
        <w:rPr>
          <w:rFonts w:ascii="Arial" w:eastAsia="Arial" w:hAnsi="Arial" w:cs="Arial"/>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sidRPr="006E1CD3">
        <w:rPr>
          <w:rFonts w:ascii="Arial" w:eastAsia="Arial" w:hAnsi="Arial" w:cs="Arial"/>
          <w:sz w:val="22"/>
          <w:szCs w:val="22"/>
        </w:rPr>
        <w:t xml:space="preserve"> Resolución No. 2125 del 25 de septiembre de 2019, </w:t>
      </w:r>
      <w:r w:rsidRPr="006E1CD3">
        <w:rPr>
          <w:rFonts w:ascii="Arial" w:eastAsia="Arial" w:hAnsi="Arial" w:cs="Arial"/>
          <w:sz w:val="22"/>
          <w:szCs w:val="22"/>
          <w:highlight w:val="white"/>
        </w:rPr>
        <w:t>en concordancia con el artículo 167 del Código General del proceso, al señalar que les corresponde a las partes probar el supuesto de hecho de las normas que consagran el efecto jurídico que ellas persiguen:</w:t>
      </w:r>
    </w:p>
    <w:p w14:paraId="693D21DF" w14:textId="77777777" w:rsidR="003A3646" w:rsidRPr="006E1CD3" w:rsidRDefault="003A3646">
      <w:pPr>
        <w:jc w:val="both"/>
        <w:rPr>
          <w:rFonts w:ascii="Arial" w:eastAsia="Arial" w:hAnsi="Arial" w:cs="Arial"/>
          <w:sz w:val="22"/>
          <w:szCs w:val="22"/>
          <w:highlight w:val="white"/>
        </w:rPr>
      </w:pPr>
    </w:p>
    <w:p w14:paraId="693D21E0" w14:textId="77777777" w:rsidR="003A3646" w:rsidRPr="006E1CD3" w:rsidRDefault="005A2B48">
      <w:pPr>
        <w:pBdr>
          <w:top w:val="nil"/>
          <w:left w:val="nil"/>
          <w:bottom w:val="nil"/>
          <w:right w:val="nil"/>
          <w:between w:val="nil"/>
        </w:pBdr>
        <w:ind w:left="567" w:right="50"/>
        <w:jc w:val="both"/>
        <w:rPr>
          <w:rFonts w:ascii="Arial" w:eastAsia="Arial" w:hAnsi="Arial" w:cs="Arial"/>
          <w:sz w:val="22"/>
          <w:szCs w:val="22"/>
        </w:rPr>
      </w:pPr>
      <w:r w:rsidRPr="006E1CD3">
        <w:rPr>
          <w:rFonts w:ascii="Arial" w:eastAsia="Arial" w:hAnsi="Arial" w:cs="Arial"/>
          <w:i/>
          <w:iCs/>
          <w:sz w:val="22"/>
          <w:szCs w:val="22"/>
          <w:highlight w:val="white"/>
        </w:rPr>
        <w:t>“</w:t>
      </w:r>
      <w:r w:rsidRPr="006E1CD3">
        <w:rPr>
          <w:rFonts w:ascii="Arial" w:eastAsia="Arial" w:hAnsi="Arial" w:cs="Arial"/>
          <w:b/>
          <w:bCs/>
          <w:i/>
          <w:iCs/>
          <w:sz w:val="22"/>
          <w:szCs w:val="22"/>
          <w:highlight w:val="white"/>
        </w:rPr>
        <w:t>ARTÍCULO 167. CARGA DE LA PRUEBA.</w:t>
      </w:r>
      <w:r w:rsidRPr="006E1CD3">
        <w:rPr>
          <w:rFonts w:ascii="Arial" w:eastAsia="Arial" w:hAnsi="Arial" w:cs="Arial"/>
          <w:i/>
          <w:iCs/>
          <w:sz w:val="22"/>
          <w:szCs w:val="22"/>
          <w:highlight w:val="white"/>
        </w:rPr>
        <w:t xml:space="preserve"> Incumbe a las partes probar el supuesto de hecho de las normas que consagran el efecto jurídico que ellas persiguen.</w:t>
      </w:r>
    </w:p>
    <w:p w14:paraId="693D21E1" w14:textId="77777777" w:rsidR="003A3646" w:rsidRPr="006E1CD3" w:rsidRDefault="005A2B48">
      <w:pPr>
        <w:pBdr>
          <w:top w:val="nil"/>
          <w:left w:val="nil"/>
          <w:bottom w:val="nil"/>
          <w:right w:val="nil"/>
          <w:between w:val="nil"/>
        </w:pBdr>
        <w:ind w:left="567" w:right="50"/>
        <w:jc w:val="both"/>
        <w:rPr>
          <w:rFonts w:ascii="Arial" w:eastAsia="Arial" w:hAnsi="Arial" w:cs="Arial"/>
          <w:sz w:val="22"/>
          <w:szCs w:val="22"/>
        </w:rPr>
      </w:pPr>
      <w:r w:rsidRPr="006E1CD3">
        <w:rPr>
          <w:rFonts w:ascii="Arial" w:eastAsia="Arial" w:hAnsi="Arial" w:cs="Arial"/>
          <w:i/>
          <w:iCs/>
          <w:sz w:val="22"/>
          <w:szCs w:val="22"/>
          <w:highlight w:val="white"/>
        </w:rPr>
        <w:t> </w:t>
      </w:r>
    </w:p>
    <w:p w14:paraId="693D21E2" w14:textId="77777777" w:rsidR="003A3646" w:rsidRPr="006E1CD3" w:rsidRDefault="005A2B48">
      <w:pPr>
        <w:pBdr>
          <w:top w:val="nil"/>
          <w:left w:val="nil"/>
          <w:bottom w:val="nil"/>
          <w:right w:val="nil"/>
          <w:between w:val="nil"/>
        </w:pBdr>
        <w:ind w:left="567" w:right="50"/>
        <w:jc w:val="both"/>
        <w:rPr>
          <w:rFonts w:ascii="Arial" w:eastAsia="Arial" w:hAnsi="Arial" w:cs="Arial"/>
          <w:sz w:val="22"/>
          <w:szCs w:val="22"/>
        </w:rPr>
      </w:pPr>
      <w:r w:rsidRPr="006E1CD3">
        <w:rPr>
          <w:rFonts w:ascii="Arial" w:eastAsia="Arial" w:hAnsi="Arial" w:cs="Arial"/>
          <w:i/>
          <w:iCs/>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693D21E3" w14:textId="77777777" w:rsidR="003A3646" w:rsidRPr="006E1CD3" w:rsidRDefault="005A2B48">
      <w:pPr>
        <w:pBdr>
          <w:top w:val="nil"/>
          <w:left w:val="nil"/>
          <w:bottom w:val="nil"/>
          <w:right w:val="nil"/>
          <w:between w:val="nil"/>
        </w:pBdr>
        <w:ind w:left="567" w:right="50"/>
        <w:jc w:val="both"/>
        <w:rPr>
          <w:rFonts w:ascii="Arial" w:eastAsia="Arial" w:hAnsi="Arial" w:cs="Arial"/>
          <w:sz w:val="22"/>
          <w:szCs w:val="22"/>
        </w:rPr>
      </w:pPr>
      <w:r w:rsidRPr="006E1CD3">
        <w:rPr>
          <w:rFonts w:ascii="Arial" w:eastAsia="Arial" w:hAnsi="Arial" w:cs="Arial"/>
          <w:i/>
          <w:iCs/>
          <w:sz w:val="22"/>
          <w:szCs w:val="22"/>
          <w:highlight w:val="white"/>
        </w:rPr>
        <w:t> </w:t>
      </w:r>
    </w:p>
    <w:p w14:paraId="693D21E4" w14:textId="77777777" w:rsidR="003A3646" w:rsidRPr="006E1CD3" w:rsidRDefault="005A2B48">
      <w:pPr>
        <w:pBdr>
          <w:top w:val="nil"/>
          <w:left w:val="nil"/>
          <w:bottom w:val="nil"/>
          <w:right w:val="nil"/>
          <w:between w:val="nil"/>
        </w:pBdr>
        <w:ind w:left="567" w:right="50"/>
        <w:jc w:val="both"/>
        <w:rPr>
          <w:rFonts w:ascii="Arial" w:eastAsia="Arial" w:hAnsi="Arial" w:cs="Arial"/>
          <w:sz w:val="22"/>
          <w:szCs w:val="22"/>
        </w:rPr>
      </w:pPr>
      <w:r w:rsidRPr="006E1CD3">
        <w:rPr>
          <w:rFonts w:ascii="Arial" w:eastAsia="Arial" w:hAnsi="Arial" w:cs="Arial"/>
          <w:i/>
          <w:iCs/>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693D21E5" w14:textId="77777777" w:rsidR="003A3646" w:rsidRPr="006E1CD3" w:rsidRDefault="005A2B48">
      <w:pPr>
        <w:pBdr>
          <w:top w:val="nil"/>
          <w:left w:val="nil"/>
          <w:bottom w:val="nil"/>
          <w:right w:val="nil"/>
          <w:between w:val="nil"/>
        </w:pBdr>
        <w:ind w:left="567" w:right="50"/>
        <w:jc w:val="both"/>
        <w:rPr>
          <w:rFonts w:ascii="Arial" w:eastAsia="Arial" w:hAnsi="Arial" w:cs="Arial"/>
          <w:sz w:val="22"/>
          <w:szCs w:val="22"/>
        </w:rPr>
      </w:pPr>
      <w:r w:rsidRPr="006E1CD3">
        <w:rPr>
          <w:rFonts w:ascii="Arial" w:eastAsia="Arial" w:hAnsi="Arial" w:cs="Arial"/>
          <w:i/>
          <w:iCs/>
          <w:sz w:val="22"/>
          <w:szCs w:val="22"/>
          <w:highlight w:val="white"/>
        </w:rPr>
        <w:t> </w:t>
      </w:r>
    </w:p>
    <w:p w14:paraId="693D21E6" w14:textId="77777777" w:rsidR="003A3646" w:rsidRPr="006E1CD3" w:rsidRDefault="005A2B48">
      <w:pPr>
        <w:pBdr>
          <w:top w:val="nil"/>
          <w:left w:val="nil"/>
          <w:bottom w:val="nil"/>
          <w:right w:val="nil"/>
          <w:between w:val="nil"/>
        </w:pBdr>
        <w:ind w:left="567" w:right="50"/>
        <w:jc w:val="both"/>
        <w:rPr>
          <w:rFonts w:ascii="Arial" w:eastAsia="Arial" w:hAnsi="Arial" w:cs="Arial"/>
          <w:sz w:val="22"/>
          <w:szCs w:val="22"/>
        </w:rPr>
      </w:pPr>
      <w:r w:rsidRPr="006E1CD3">
        <w:rPr>
          <w:rFonts w:ascii="Arial" w:eastAsia="Arial" w:hAnsi="Arial" w:cs="Arial"/>
          <w:i/>
          <w:iCs/>
          <w:sz w:val="22"/>
          <w:szCs w:val="22"/>
          <w:highlight w:val="white"/>
        </w:rPr>
        <w:t>Los hechos notorios y las afirmaciones o negaciones indefinidas no requieren prueba.”.</w:t>
      </w:r>
    </w:p>
    <w:p w14:paraId="693D21E7" w14:textId="77777777" w:rsidR="003A3646" w:rsidRPr="006E1CD3" w:rsidRDefault="005A2B48">
      <w:pPr>
        <w:pBdr>
          <w:top w:val="nil"/>
          <w:left w:val="nil"/>
          <w:bottom w:val="nil"/>
          <w:right w:val="nil"/>
          <w:between w:val="nil"/>
        </w:pBdr>
        <w:jc w:val="both"/>
        <w:rPr>
          <w:rFonts w:ascii="Arial" w:eastAsia="Arial" w:hAnsi="Arial" w:cs="Arial"/>
          <w:sz w:val="22"/>
          <w:szCs w:val="22"/>
        </w:rPr>
      </w:pPr>
      <w:r w:rsidRPr="006E1CD3">
        <w:rPr>
          <w:rFonts w:ascii="Arial" w:eastAsia="Arial" w:hAnsi="Arial" w:cs="Arial"/>
          <w:i/>
          <w:iCs/>
          <w:sz w:val="22"/>
          <w:szCs w:val="22"/>
          <w:highlight w:val="white"/>
        </w:rPr>
        <w:t> </w:t>
      </w:r>
    </w:p>
    <w:p w14:paraId="693D21E8" w14:textId="77777777" w:rsidR="003A3646" w:rsidRPr="006E1CD3" w:rsidRDefault="005A2B48">
      <w:pPr>
        <w:jc w:val="both"/>
        <w:rPr>
          <w:rFonts w:ascii="Arial" w:eastAsia="Arial" w:hAnsi="Arial" w:cs="Arial"/>
          <w:sz w:val="22"/>
          <w:szCs w:val="22"/>
        </w:rPr>
      </w:pPr>
      <w:r w:rsidRPr="006E1CD3">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693D21E9" w14:textId="77777777" w:rsidR="003A3646" w:rsidRPr="006E1CD3" w:rsidRDefault="003A3646">
      <w:pPr>
        <w:ind w:left="360"/>
        <w:jc w:val="both"/>
        <w:rPr>
          <w:rFonts w:ascii="Arial" w:eastAsia="Arial" w:hAnsi="Arial" w:cs="Arial"/>
          <w:b/>
          <w:bCs/>
          <w:sz w:val="22"/>
          <w:szCs w:val="22"/>
          <w:highlight w:val="white"/>
        </w:rPr>
      </w:pPr>
    </w:p>
    <w:p w14:paraId="693D21EA" w14:textId="77777777" w:rsidR="003A3646" w:rsidRPr="006E1CD3" w:rsidRDefault="005A2B48">
      <w:pPr>
        <w:jc w:val="both"/>
        <w:rPr>
          <w:rFonts w:ascii="Arial" w:eastAsia="Arial" w:hAnsi="Arial" w:cs="Arial"/>
          <w:b/>
          <w:bCs/>
          <w:sz w:val="22"/>
          <w:szCs w:val="22"/>
          <w:highlight w:val="white"/>
        </w:rPr>
      </w:pPr>
      <w:r w:rsidRPr="006E1CD3">
        <w:rPr>
          <w:rFonts w:ascii="Arial" w:eastAsia="Arial" w:hAnsi="Arial" w:cs="Arial"/>
          <w:b/>
          <w:bCs/>
          <w:sz w:val="22"/>
          <w:szCs w:val="22"/>
          <w:highlight w:val="white"/>
        </w:rPr>
        <w:t>Graduación de la sanción.</w:t>
      </w:r>
    </w:p>
    <w:p w14:paraId="693D21EB" w14:textId="77777777" w:rsidR="003A3646" w:rsidRPr="006E1CD3" w:rsidRDefault="003A3646">
      <w:pPr>
        <w:jc w:val="both"/>
        <w:rPr>
          <w:rFonts w:ascii="Arial" w:eastAsia="Arial" w:hAnsi="Arial" w:cs="Arial"/>
          <w:sz w:val="22"/>
          <w:szCs w:val="22"/>
          <w:highlight w:val="white"/>
        </w:rPr>
      </w:pPr>
    </w:p>
    <w:p w14:paraId="693D21EC" w14:textId="77777777" w:rsidR="003A3646" w:rsidRPr="006E1CD3" w:rsidRDefault="005A2B48">
      <w:pPr>
        <w:jc w:val="both"/>
        <w:rPr>
          <w:rFonts w:ascii="Arial" w:eastAsia="Arial" w:hAnsi="Arial" w:cs="Arial"/>
          <w:sz w:val="22"/>
          <w:szCs w:val="22"/>
          <w:highlight w:val="white"/>
        </w:rPr>
      </w:pPr>
      <w:r w:rsidRPr="006E1CD3">
        <w:rPr>
          <w:rFonts w:ascii="Arial" w:eastAsia="Arial" w:hAnsi="Arial" w:cs="Arial"/>
          <w:sz w:val="22"/>
          <w:szCs w:val="22"/>
          <w:highlight w:val="white"/>
        </w:rPr>
        <w:lastRenderedPageBreak/>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693D21ED" w14:textId="77777777" w:rsidR="003A3646" w:rsidRPr="006E1CD3" w:rsidRDefault="003A3646">
      <w:pPr>
        <w:jc w:val="both"/>
        <w:rPr>
          <w:rFonts w:ascii="Arial" w:eastAsia="Arial" w:hAnsi="Arial" w:cs="Arial"/>
          <w:sz w:val="22"/>
          <w:szCs w:val="22"/>
          <w:highlight w:val="white"/>
        </w:rPr>
      </w:pPr>
    </w:p>
    <w:p w14:paraId="693D21EE" w14:textId="77777777" w:rsidR="003A3646" w:rsidRPr="006E1CD3" w:rsidRDefault="005A2B48">
      <w:pPr>
        <w:jc w:val="both"/>
        <w:rPr>
          <w:rFonts w:ascii="Arial" w:eastAsia="Arial" w:hAnsi="Arial" w:cs="Arial"/>
          <w:sz w:val="22"/>
          <w:szCs w:val="22"/>
        </w:rPr>
      </w:pPr>
      <w:r w:rsidRPr="006E1CD3">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sidRPr="006E1CD3">
        <w:rPr>
          <w:rFonts w:ascii="Arial" w:eastAsia="Arial" w:hAnsi="Arial" w:cs="Arial"/>
          <w:sz w:val="22"/>
          <w:szCs w:val="22"/>
        </w:rPr>
        <w:t>Resolución No. 2125 del 25 de septiembre de 2019.</w:t>
      </w:r>
    </w:p>
    <w:p w14:paraId="693D21EF" w14:textId="77777777" w:rsidR="003A3646" w:rsidRPr="006E1CD3" w:rsidRDefault="003A3646">
      <w:pPr>
        <w:jc w:val="both"/>
        <w:rPr>
          <w:rFonts w:ascii="Arial" w:eastAsia="Arial" w:hAnsi="Arial" w:cs="Arial"/>
          <w:sz w:val="22"/>
          <w:szCs w:val="22"/>
        </w:rPr>
      </w:pPr>
    </w:p>
    <w:p w14:paraId="693D21F0" w14:textId="77777777" w:rsidR="003A3646" w:rsidRPr="006E1CD3" w:rsidRDefault="005A2B48">
      <w:pPr>
        <w:jc w:val="both"/>
        <w:rPr>
          <w:rFonts w:ascii="Arial" w:eastAsia="Arial" w:hAnsi="Arial" w:cs="Arial"/>
          <w:sz w:val="22"/>
          <w:szCs w:val="22"/>
          <w:highlight w:val="white"/>
        </w:rPr>
      </w:pPr>
      <w:r w:rsidRPr="006E1CD3">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693D21F1" w14:textId="77777777" w:rsidR="003A3646" w:rsidRPr="006E1CD3" w:rsidRDefault="003A3646">
      <w:pPr>
        <w:ind w:right="567"/>
        <w:jc w:val="both"/>
        <w:rPr>
          <w:rFonts w:ascii="Arial" w:eastAsia="Arial" w:hAnsi="Arial" w:cs="Arial"/>
          <w:i/>
          <w:iCs/>
          <w:sz w:val="22"/>
          <w:szCs w:val="22"/>
        </w:rPr>
      </w:pPr>
    </w:p>
    <w:p w14:paraId="693D21F2" w14:textId="77777777" w:rsidR="003A3646" w:rsidRPr="006E1CD3" w:rsidRDefault="005A2B48">
      <w:pPr>
        <w:tabs>
          <w:tab w:val="left" w:pos="284"/>
        </w:tabs>
        <w:jc w:val="both"/>
        <w:rPr>
          <w:rFonts w:ascii="Arial" w:eastAsia="Arial" w:hAnsi="Arial" w:cs="Arial"/>
          <w:sz w:val="22"/>
          <w:szCs w:val="22"/>
        </w:rPr>
      </w:pPr>
      <w:r w:rsidRPr="006E1CD3">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693D21F3" w14:textId="77777777" w:rsidR="003A3646" w:rsidRPr="006E1CD3" w:rsidRDefault="003A3646">
      <w:pPr>
        <w:jc w:val="both"/>
        <w:rPr>
          <w:rFonts w:ascii="Arial" w:eastAsia="Arial" w:hAnsi="Arial" w:cs="Arial"/>
          <w:sz w:val="22"/>
          <w:szCs w:val="22"/>
        </w:rPr>
      </w:pPr>
    </w:p>
    <w:p w14:paraId="693D21F4" w14:textId="77777777" w:rsidR="003A3646" w:rsidRPr="006E1CD3" w:rsidRDefault="005A2B48">
      <w:pPr>
        <w:tabs>
          <w:tab w:val="left" w:pos="284"/>
        </w:tabs>
        <w:jc w:val="both"/>
        <w:rPr>
          <w:rFonts w:ascii="Arial" w:eastAsia="Arial" w:hAnsi="Arial" w:cs="Arial"/>
          <w:sz w:val="22"/>
          <w:szCs w:val="22"/>
        </w:rPr>
      </w:pPr>
      <w:r w:rsidRPr="006E1CD3">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693D21F5" w14:textId="77777777" w:rsidR="003A3646" w:rsidRPr="006E1CD3" w:rsidRDefault="003A3646" w:rsidP="00A233FD">
      <w:pPr>
        <w:pBdr>
          <w:top w:val="nil"/>
          <w:left w:val="nil"/>
          <w:bottom w:val="nil"/>
          <w:right w:val="nil"/>
          <w:between w:val="nil"/>
        </w:pBdr>
        <w:tabs>
          <w:tab w:val="left" w:pos="284"/>
        </w:tabs>
        <w:jc w:val="both"/>
        <w:rPr>
          <w:rFonts w:ascii="Arial" w:eastAsia="Arial" w:hAnsi="Arial" w:cs="Arial"/>
          <w:b/>
          <w:bCs/>
          <w:sz w:val="22"/>
          <w:szCs w:val="22"/>
        </w:rPr>
      </w:pPr>
    </w:p>
    <w:p w14:paraId="693D21F6" w14:textId="77777777" w:rsidR="003A3646" w:rsidRPr="006E1CD3" w:rsidRDefault="005A2B48" w:rsidP="00A233FD">
      <w:pPr>
        <w:pBdr>
          <w:top w:val="nil"/>
          <w:left w:val="nil"/>
          <w:bottom w:val="nil"/>
          <w:right w:val="nil"/>
          <w:between w:val="nil"/>
        </w:pBdr>
        <w:tabs>
          <w:tab w:val="left" w:pos="284"/>
        </w:tabs>
        <w:jc w:val="both"/>
        <w:rPr>
          <w:rFonts w:ascii="Arial" w:eastAsia="Arial" w:hAnsi="Arial" w:cs="Arial"/>
          <w:sz w:val="22"/>
          <w:szCs w:val="22"/>
        </w:rPr>
      </w:pPr>
      <w:r w:rsidRPr="006E1CD3">
        <w:rPr>
          <w:rFonts w:ascii="Arial" w:eastAsia="Arial" w:hAnsi="Arial" w:cs="Arial"/>
          <w:b/>
          <w:bCs/>
          <w:sz w:val="22"/>
          <w:szCs w:val="22"/>
        </w:rPr>
        <w:t>Daño o peligro generado a los intereses jurídicos tutelados:</w:t>
      </w:r>
      <w:r w:rsidRPr="006E1CD3">
        <w:rPr>
          <w:rFonts w:ascii="Arial" w:eastAsia="Arial" w:hAnsi="Arial" w:cs="Arial"/>
          <w:sz w:val="22"/>
          <w:szCs w:val="22"/>
        </w:rPr>
        <w:t xml:space="preserve"> Este criterio alude bien a que se produzca un daño al interés jurídico protegido por la norma infringida, o a que simplemente se ponga en peligro. </w:t>
      </w:r>
    </w:p>
    <w:p w14:paraId="693D21F7" w14:textId="77777777" w:rsidR="003A3646" w:rsidRPr="006E1CD3" w:rsidRDefault="003A3646" w:rsidP="00A233FD">
      <w:pPr>
        <w:pBdr>
          <w:top w:val="nil"/>
          <w:left w:val="nil"/>
          <w:bottom w:val="nil"/>
          <w:right w:val="nil"/>
          <w:between w:val="nil"/>
        </w:pBdr>
        <w:tabs>
          <w:tab w:val="left" w:pos="284"/>
        </w:tabs>
        <w:jc w:val="both"/>
        <w:rPr>
          <w:rFonts w:ascii="Arial" w:eastAsia="Arial" w:hAnsi="Arial" w:cs="Arial"/>
          <w:sz w:val="22"/>
          <w:szCs w:val="22"/>
        </w:rPr>
      </w:pPr>
    </w:p>
    <w:p w14:paraId="693D21F8" w14:textId="77777777" w:rsidR="003A3646" w:rsidRPr="006E1CD3" w:rsidRDefault="005A2B48">
      <w:pPr>
        <w:jc w:val="both"/>
        <w:rPr>
          <w:rFonts w:ascii="Arial" w:eastAsia="Arial" w:hAnsi="Arial" w:cs="Arial"/>
          <w:sz w:val="22"/>
          <w:szCs w:val="22"/>
        </w:rPr>
      </w:pPr>
      <w:r w:rsidRPr="006E1CD3">
        <w:rPr>
          <w:rFonts w:ascii="Arial" w:eastAsia="Arial" w:hAnsi="Arial" w:cs="Arial"/>
          <w:sz w:val="22"/>
          <w:szCs w:val="22"/>
        </w:rPr>
        <w:t>E</w:t>
      </w:r>
      <w:r w:rsidRPr="006E1CD3">
        <w:rPr>
          <w:rFonts w:ascii="Arial" w:eastAsia="Arial" w:hAnsi="Arial" w:cs="Arial"/>
          <w:sz w:val="22"/>
          <w:szCs w:val="22"/>
          <w:highlight w:val="white"/>
        </w:rPr>
        <w:t>n este caso se evidencia que la sociedad enajenadora no ha dado cumplimiento a las órdenes de hacer, aun cuando es de su conocimiento que contaba con el término de tres (3) meses para realizar los trabajos tendientes a solucionar en forma definitiva los hechos objeto de sanción</w:t>
      </w:r>
      <w:r w:rsidRPr="006E1CD3">
        <w:rPr>
          <w:rFonts w:ascii="Arial" w:eastAsia="Arial" w:hAnsi="Arial" w:cs="Arial"/>
          <w:sz w:val="22"/>
          <w:szCs w:val="22"/>
        </w:rPr>
        <w:t>.</w:t>
      </w:r>
    </w:p>
    <w:p w14:paraId="693D21F9" w14:textId="77777777" w:rsidR="003A3646" w:rsidRPr="006E1CD3" w:rsidRDefault="005A2B48">
      <w:pPr>
        <w:jc w:val="both"/>
        <w:rPr>
          <w:rFonts w:ascii="Arial" w:eastAsia="Arial" w:hAnsi="Arial" w:cs="Arial"/>
          <w:sz w:val="22"/>
          <w:szCs w:val="22"/>
          <w:highlight w:val="white"/>
        </w:rPr>
      </w:pPr>
      <w:r w:rsidRPr="006E1CD3">
        <w:rPr>
          <w:rFonts w:ascii="Arial" w:eastAsia="Arial" w:hAnsi="Arial" w:cs="Arial"/>
          <w:sz w:val="22"/>
          <w:szCs w:val="22"/>
        </w:rPr>
        <w:tab/>
      </w:r>
      <w:r w:rsidRPr="006E1CD3">
        <w:rPr>
          <w:rFonts w:ascii="Arial" w:eastAsia="Arial" w:hAnsi="Arial" w:cs="Arial"/>
          <w:sz w:val="22"/>
          <w:szCs w:val="22"/>
          <w:highlight w:val="white"/>
        </w:rPr>
        <w:t xml:space="preserve"> </w:t>
      </w:r>
    </w:p>
    <w:p w14:paraId="693D21FA" w14:textId="77777777" w:rsidR="003A3646" w:rsidRPr="006E1CD3" w:rsidRDefault="005A2B48">
      <w:pPr>
        <w:jc w:val="both"/>
        <w:rPr>
          <w:rFonts w:ascii="Arial" w:eastAsia="Arial" w:hAnsi="Arial" w:cs="Arial"/>
          <w:sz w:val="22"/>
          <w:szCs w:val="22"/>
        </w:rPr>
      </w:pPr>
      <w:r w:rsidRPr="006E1CD3">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2125 del 25 de septiembre de 2019.</w:t>
      </w:r>
    </w:p>
    <w:p w14:paraId="693D21FB" w14:textId="77777777" w:rsidR="003A3646" w:rsidRPr="006E1CD3" w:rsidRDefault="003A3646">
      <w:pPr>
        <w:jc w:val="both"/>
        <w:rPr>
          <w:rFonts w:ascii="Arial" w:eastAsia="Arial" w:hAnsi="Arial" w:cs="Arial"/>
          <w:sz w:val="22"/>
          <w:szCs w:val="22"/>
        </w:rPr>
      </w:pPr>
    </w:p>
    <w:p w14:paraId="693D21FC" w14:textId="77777777" w:rsidR="003A3646" w:rsidRPr="006E1CD3" w:rsidRDefault="005A2B48">
      <w:pPr>
        <w:jc w:val="both"/>
        <w:rPr>
          <w:rFonts w:ascii="Arial" w:eastAsia="Arial" w:hAnsi="Arial" w:cs="Arial"/>
          <w:b/>
          <w:bCs/>
          <w:sz w:val="22"/>
          <w:szCs w:val="22"/>
        </w:rPr>
      </w:pPr>
      <w:r w:rsidRPr="006E1CD3">
        <w:rPr>
          <w:rFonts w:ascii="Arial" w:eastAsia="Arial" w:hAnsi="Arial" w:cs="Arial"/>
          <w:b/>
          <w:bCs/>
          <w:sz w:val="22"/>
          <w:szCs w:val="22"/>
        </w:rPr>
        <w:t xml:space="preserve">Beneficio económico por el infractor para sí o a favor de un tercero: </w:t>
      </w:r>
      <w:r w:rsidRPr="006E1CD3">
        <w:rPr>
          <w:rFonts w:ascii="Arial" w:eastAsia="Arial" w:hAnsi="Arial" w:cs="Arial"/>
          <w:sz w:val="22"/>
          <w:szCs w:val="22"/>
        </w:rPr>
        <w:t xml:space="preserve">No se observa en el desarrollo de la presente actuación administrativa de seguimiento que la sociedad </w:t>
      </w:r>
      <w:r w:rsidRPr="006E1CD3">
        <w:rPr>
          <w:rFonts w:ascii="Arial" w:eastAsia="Arial" w:hAnsi="Arial" w:cs="Arial"/>
          <w:sz w:val="22"/>
          <w:szCs w:val="22"/>
        </w:rPr>
        <w:lastRenderedPageBreak/>
        <w:t>enajenadora URBANIZADORA MARVAL S.A.S, obtuviera,</w:t>
      </w:r>
      <w:r w:rsidRPr="006E1CD3">
        <w:rPr>
          <w:rFonts w:ascii="Arial" w:eastAsia="Arial" w:hAnsi="Arial" w:cs="Arial"/>
          <w:b/>
          <w:bCs/>
          <w:sz w:val="22"/>
          <w:szCs w:val="22"/>
        </w:rPr>
        <w:t xml:space="preserve"> </w:t>
      </w:r>
      <w:r w:rsidRPr="006E1CD3">
        <w:rPr>
          <w:rFonts w:ascii="Arial" w:eastAsia="Arial" w:hAnsi="Arial" w:cs="Arial"/>
          <w:sz w:val="22"/>
          <w:szCs w:val="22"/>
        </w:rPr>
        <w:t>para sí</w:t>
      </w:r>
      <w:r w:rsidRPr="006E1CD3">
        <w:rPr>
          <w:rFonts w:ascii="Arial" w:eastAsia="Arial" w:hAnsi="Arial" w:cs="Arial"/>
          <w:b/>
          <w:bCs/>
          <w:sz w:val="22"/>
          <w:szCs w:val="22"/>
        </w:rPr>
        <w:t xml:space="preserve"> </w:t>
      </w:r>
      <w:r w:rsidRPr="006E1CD3">
        <w:rPr>
          <w:rFonts w:ascii="Arial" w:eastAsia="Arial" w:hAnsi="Arial" w:cs="Arial"/>
          <w:sz w:val="22"/>
          <w:szCs w:val="22"/>
        </w:rPr>
        <w:t>o en favor de un tercero,</w:t>
      </w:r>
      <w:r w:rsidRPr="006E1CD3">
        <w:rPr>
          <w:rFonts w:ascii="Arial" w:eastAsia="Arial" w:hAnsi="Arial" w:cs="Arial"/>
          <w:b/>
          <w:bCs/>
          <w:sz w:val="22"/>
          <w:szCs w:val="22"/>
        </w:rPr>
        <w:t xml:space="preserve"> </w:t>
      </w:r>
      <w:r w:rsidRPr="006E1CD3">
        <w:rPr>
          <w:rFonts w:ascii="Arial" w:eastAsia="Arial" w:hAnsi="Arial" w:cs="Arial"/>
          <w:sz w:val="22"/>
          <w:szCs w:val="22"/>
        </w:rPr>
        <w:t xml:space="preserve">algún beneficio económico en la presente investigación, por lo que este criterio no resulta aplicable para graduar la sanción a imponer. </w:t>
      </w:r>
    </w:p>
    <w:p w14:paraId="693D21FD" w14:textId="77777777" w:rsidR="003A3646" w:rsidRPr="006E1CD3" w:rsidRDefault="003A3646">
      <w:pPr>
        <w:jc w:val="both"/>
        <w:rPr>
          <w:rFonts w:ascii="Arial" w:eastAsia="Arial" w:hAnsi="Arial" w:cs="Arial"/>
          <w:sz w:val="22"/>
          <w:szCs w:val="22"/>
        </w:rPr>
      </w:pPr>
    </w:p>
    <w:p w14:paraId="693D21FE" w14:textId="1C3F0390" w:rsidR="003A3646" w:rsidRPr="006E1CD3" w:rsidRDefault="005A2B48">
      <w:pPr>
        <w:contextualSpacing/>
        <w:jc w:val="both"/>
        <w:rPr>
          <w:rFonts w:ascii="Arial" w:hAnsi="Arial" w:cs="Arial"/>
          <w:b/>
          <w:bCs/>
          <w:sz w:val="22"/>
          <w:szCs w:val="22"/>
          <w:lang w:val="es-MX"/>
        </w:rPr>
      </w:pPr>
      <w:r w:rsidRPr="006E1CD3">
        <w:rPr>
          <w:rFonts w:ascii="Arial" w:eastAsia="Arial" w:hAnsi="Arial" w:cs="Arial"/>
          <w:b/>
          <w:bCs/>
          <w:sz w:val="22"/>
          <w:szCs w:val="22"/>
        </w:rPr>
        <w:t>Reincidencia:</w:t>
      </w:r>
      <w:r w:rsidRPr="006E1CD3">
        <w:rPr>
          <w:rFonts w:ascii="Arial" w:eastAsia="Arial" w:hAnsi="Arial" w:cs="Arial"/>
          <w:sz w:val="22"/>
          <w:szCs w:val="22"/>
        </w:rPr>
        <w:t xml:space="preserve"> </w:t>
      </w:r>
      <w:r w:rsidR="00960FB3" w:rsidRPr="006E1CD3">
        <w:rPr>
          <w:rFonts w:ascii="Arial" w:hAnsi="Arial" w:cs="Arial"/>
          <w:bCs/>
          <w:iCs/>
          <w:sz w:val="22"/>
          <w:szCs w:val="22"/>
        </w:rPr>
        <w:t xml:space="preserve">Consultado el expediente, no se evidencia que </w:t>
      </w:r>
      <w:r w:rsidR="00960FB3" w:rsidRPr="006E1CD3">
        <w:rPr>
          <w:rFonts w:ascii="Arial" w:eastAsia="Arial" w:hAnsi="Arial" w:cs="Arial"/>
          <w:sz w:val="22"/>
          <w:szCs w:val="22"/>
        </w:rPr>
        <w:t xml:space="preserve">la sociedad enajenadora </w:t>
      </w:r>
      <w:r w:rsidR="00CD1A8D" w:rsidRPr="006E1CD3">
        <w:rPr>
          <w:rFonts w:ascii="Arial" w:eastAsia="Arial" w:hAnsi="Arial" w:cs="Arial"/>
          <w:sz w:val="22"/>
          <w:szCs w:val="22"/>
        </w:rPr>
        <w:t>URBANIZADORA MARVAL S.A.S</w:t>
      </w:r>
      <w:r w:rsidR="00960FB3" w:rsidRPr="006E1CD3">
        <w:rPr>
          <w:rFonts w:ascii="Arial" w:hAnsi="Arial" w:cs="Arial"/>
          <w:b/>
          <w:bCs/>
          <w:sz w:val="22"/>
          <w:szCs w:val="22"/>
        </w:rPr>
        <w:t>,</w:t>
      </w:r>
      <w:r w:rsidR="00960FB3" w:rsidRPr="006E1CD3">
        <w:rPr>
          <w:rFonts w:ascii="Arial" w:hAnsi="Arial" w:cs="Arial"/>
          <w:sz w:val="22"/>
          <w:szCs w:val="22"/>
          <w:lang w:val="es-MX"/>
        </w:rPr>
        <w:t xml:space="preserve"> haya</w:t>
      </w:r>
      <w:r w:rsidR="00960FB3" w:rsidRPr="006E1CD3">
        <w:rPr>
          <w:rFonts w:ascii="Arial" w:hAnsi="Arial" w:cs="Arial"/>
          <w:iCs/>
          <w:sz w:val="22"/>
          <w:szCs w:val="22"/>
        </w:rPr>
        <w:t xml:space="preserve"> </w:t>
      </w:r>
      <w:r w:rsidR="00960FB3" w:rsidRPr="006E1CD3">
        <w:rPr>
          <w:rFonts w:ascii="Arial" w:hAnsi="Arial" w:cs="Arial"/>
          <w:bCs/>
          <w:iCs/>
          <w:sz w:val="22"/>
          <w:szCs w:val="22"/>
        </w:rPr>
        <w:t xml:space="preserve">sido objeto de multas sucesivas por estos mismos hechos (y se encuentren ejecutoriadas) en tanto que se registra únicamente la </w:t>
      </w:r>
      <w:r w:rsidR="00960FB3" w:rsidRPr="006E1CD3">
        <w:rPr>
          <w:rFonts w:ascii="Arial" w:eastAsia="Arial" w:hAnsi="Arial" w:cs="Arial"/>
          <w:sz w:val="22"/>
          <w:szCs w:val="22"/>
        </w:rPr>
        <w:t xml:space="preserve">Resolución No. </w:t>
      </w:r>
      <w:r w:rsidR="00CD1A8D" w:rsidRPr="006E1CD3">
        <w:rPr>
          <w:rFonts w:ascii="Arial" w:eastAsia="Arial" w:hAnsi="Arial" w:cs="Arial"/>
          <w:sz w:val="22"/>
          <w:szCs w:val="22"/>
        </w:rPr>
        <w:t>2125 del 25 de septiembre de 2019, "</w:t>
      </w:r>
      <w:r w:rsidR="00CD1A8D" w:rsidRPr="006E1CD3">
        <w:rPr>
          <w:rFonts w:ascii="Arial" w:eastAsia="Arial" w:hAnsi="Arial" w:cs="Arial"/>
          <w:i/>
          <w:iCs/>
          <w:sz w:val="22"/>
          <w:szCs w:val="22"/>
        </w:rPr>
        <w:t>Por la cual se impone una sanción y se imparte una orden</w:t>
      </w:r>
      <w:r w:rsidR="00CD1A8D" w:rsidRPr="006E1CD3">
        <w:rPr>
          <w:rFonts w:ascii="Arial" w:eastAsia="Arial" w:hAnsi="Arial" w:cs="Arial"/>
          <w:sz w:val="22"/>
          <w:szCs w:val="22"/>
        </w:rPr>
        <w:t>"</w:t>
      </w:r>
      <w:r w:rsidR="00960FB3" w:rsidRPr="006E1CD3">
        <w:rPr>
          <w:rFonts w:ascii="Arial" w:hAnsi="Arial" w:cs="Arial"/>
          <w:sz w:val="22"/>
          <w:szCs w:val="22"/>
        </w:rPr>
        <w:t xml:space="preserve">. </w:t>
      </w:r>
    </w:p>
    <w:p w14:paraId="693D21FF" w14:textId="77777777" w:rsidR="003A3646" w:rsidRPr="006E1CD3" w:rsidRDefault="003A3646">
      <w:pPr>
        <w:jc w:val="both"/>
        <w:rPr>
          <w:rFonts w:ascii="Arial" w:eastAsia="Arial" w:hAnsi="Arial" w:cs="Arial"/>
          <w:sz w:val="22"/>
          <w:szCs w:val="22"/>
          <w:lang w:val="es-MX"/>
        </w:rPr>
      </w:pPr>
    </w:p>
    <w:p w14:paraId="693D2200" w14:textId="77777777" w:rsidR="003A3646" w:rsidRPr="006E1CD3" w:rsidRDefault="005A2B48">
      <w:pPr>
        <w:jc w:val="both"/>
        <w:rPr>
          <w:rFonts w:ascii="Arial" w:eastAsia="Arial" w:hAnsi="Arial" w:cs="Arial"/>
          <w:b/>
          <w:bCs/>
          <w:sz w:val="22"/>
          <w:szCs w:val="22"/>
        </w:rPr>
      </w:pPr>
      <w:r w:rsidRPr="006E1CD3">
        <w:rPr>
          <w:rFonts w:ascii="Arial" w:eastAsia="Arial" w:hAnsi="Arial" w:cs="Arial"/>
          <w:b/>
          <w:bCs/>
          <w:sz w:val="22"/>
          <w:szCs w:val="22"/>
        </w:rPr>
        <w:t xml:space="preserve">Resistencia, negativa u obstrucción a la acción investigadora o de supervisión: </w:t>
      </w:r>
      <w:r w:rsidRPr="006E1CD3">
        <w:rPr>
          <w:rFonts w:ascii="Arial" w:eastAsia="Arial" w:hAnsi="Arial" w:cs="Arial"/>
          <w:sz w:val="22"/>
          <w:szCs w:val="22"/>
        </w:rPr>
        <w:t>No se observa en el desarrollo de la actuación administrativa de seguimiento que la sociedad enajenadora URBANIZADORA MARVAL S.A.S</w:t>
      </w:r>
      <w:r w:rsidRPr="006E1CD3">
        <w:rPr>
          <w:rFonts w:ascii="Arial" w:eastAsia="Arial" w:hAnsi="Arial" w:cs="Arial"/>
          <w:b/>
          <w:bCs/>
          <w:sz w:val="22"/>
          <w:szCs w:val="22"/>
        </w:rPr>
        <w:t>,</w:t>
      </w:r>
      <w:r w:rsidRPr="006E1CD3">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693D2201" w14:textId="77777777" w:rsidR="003A3646" w:rsidRPr="006E1CD3" w:rsidRDefault="003A3646">
      <w:pPr>
        <w:jc w:val="both"/>
        <w:rPr>
          <w:rFonts w:ascii="Arial" w:eastAsia="Arial" w:hAnsi="Arial" w:cs="Arial"/>
          <w:b/>
          <w:bCs/>
          <w:sz w:val="22"/>
          <w:szCs w:val="22"/>
        </w:rPr>
      </w:pPr>
    </w:p>
    <w:p w14:paraId="693D2202" w14:textId="77777777" w:rsidR="003A3646" w:rsidRPr="006E1CD3" w:rsidRDefault="005A2B48">
      <w:pPr>
        <w:jc w:val="both"/>
        <w:rPr>
          <w:rFonts w:ascii="Arial" w:eastAsia="Arial" w:hAnsi="Arial" w:cs="Arial"/>
          <w:b/>
          <w:bCs/>
          <w:sz w:val="22"/>
          <w:szCs w:val="22"/>
        </w:rPr>
      </w:pPr>
      <w:r w:rsidRPr="006E1CD3">
        <w:rPr>
          <w:rFonts w:ascii="Arial" w:eastAsia="Arial" w:hAnsi="Arial" w:cs="Arial"/>
          <w:b/>
          <w:bCs/>
          <w:sz w:val="22"/>
          <w:szCs w:val="22"/>
        </w:rPr>
        <w:t>Utilización de medios fraudulentos o utilización de persona interpuesta para ocultar la infracción u ocultar sus efectos:</w:t>
      </w:r>
      <w:r w:rsidRPr="006E1CD3">
        <w:rPr>
          <w:rFonts w:ascii="Arial" w:eastAsia="Arial" w:hAnsi="Arial" w:cs="Arial"/>
          <w:sz w:val="22"/>
          <w:szCs w:val="22"/>
        </w:rPr>
        <w:t xml:space="preserve"> No se evidenció que la sociedad enajenadora</w:t>
      </w:r>
      <w:r w:rsidRPr="006E1CD3">
        <w:rPr>
          <w:rFonts w:ascii="Arial" w:eastAsia="Arial" w:hAnsi="Arial" w:cs="Arial"/>
          <w:sz w:val="24"/>
          <w:szCs w:val="24"/>
          <w:highlight w:val="white"/>
        </w:rPr>
        <w:t xml:space="preserve"> </w:t>
      </w:r>
      <w:r w:rsidRPr="006E1CD3">
        <w:rPr>
          <w:rFonts w:ascii="Arial" w:eastAsia="Arial" w:hAnsi="Arial" w:cs="Arial"/>
          <w:sz w:val="22"/>
          <w:szCs w:val="22"/>
        </w:rPr>
        <w:t>URBANIZADORA MARVAL S.A.S, haya propiciado o utilizado alguna maniobra fraudulenta para ocultar la comisión y consecuencias de la infracción que se le imputó, por lo que este criterio no resulta aplicable para graduar la sanción a imponer.</w:t>
      </w:r>
    </w:p>
    <w:p w14:paraId="693D2203" w14:textId="77777777" w:rsidR="003A3646" w:rsidRPr="006E1CD3" w:rsidRDefault="003A3646">
      <w:pPr>
        <w:jc w:val="both"/>
        <w:rPr>
          <w:rFonts w:ascii="Arial" w:eastAsia="Arial" w:hAnsi="Arial" w:cs="Arial"/>
          <w:sz w:val="22"/>
          <w:szCs w:val="22"/>
        </w:rPr>
      </w:pPr>
    </w:p>
    <w:p w14:paraId="693D2204" w14:textId="77777777" w:rsidR="003A3646" w:rsidRPr="006E1CD3" w:rsidRDefault="005A2B48">
      <w:pPr>
        <w:jc w:val="both"/>
        <w:rPr>
          <w:rFonts w:ascii="Arial" w:eastAsia="Arial" w:hAnsi="Arial" w:cs="Arial"/>
          <w:sz w:val="22"/>
          <w:szCs w:val="22"/>
        </w:rPr>
      </w:pPr>
      <w:r w:rsidRPr="006E1CD3">
        <w:rPr>
          <w:rFonts w:ascii="Arial" w:eastAsia="Arial" w:hAnsi="Arial" w:cs="Arial"/>
          <w:b/>
          <w:bCs/>
          <w:sz w:val="22"/>
          <w:szCs w:val="22"/>
        </w:rPr>
        <w:t xml:space="preserve">Grado de prudencia y diligencia con que se hayan atendido los deberes o se hayan aplicado las normas legales pertinentes: </w:t>
      </w:r>
      <w:r w:rsidRPr="006E1CD3">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693D2205" w14:textId="77777777" w:rsidR="003A3646" w:rsidRPr="006E1CD3" w:rsidRDefault="003A3646">
      <w:pPr>
        <w:jc w:val="both"/>
        <w:rPr>
          <w:rFonts w:ascii="Arial" w:eastAsia="Arial" w:hAnsi="Arial" w:cs="Arial"/>
          <w:sz w:val="22"/>
          <w:szCs w:val="22"/>
        </w:rPr>
      </w:pPr>
    </w:p>
    <w:p w14:paraId="693D2206" w14:textId="77777777" w:rsidR="003A3646" w:rsidRPr="006E1CD3" w:rsidRDefault="005A2B48">
      <w:pPr>
        <w:jc w:val="both"/>
        <w:rPr>
          <w:rFonts w:ascii="Arial" w:eastAsia="Arial" w:hAnsi="Arial" w:cs="Arial"/>
          <w:sz w:val="22"/>
          <w:szCs w:val="22"/>
        </w:rPr>
      </w:pPr>
      <w:r w:rsidRPr="006E1CD3">
        <w:rPr>
          <w:rFonts w:ascii="Arial" w:eastAsia="Arial" w:hAnsi="Arial" w:cs="Arial"/>
          <w:sz w:val="22"/>
          <w:szCs w:val="22"/>
        </w:rPr>
        <w:t>Bajo este entendido, se hace necesario resaltar, que en la presente actuación administrativa de seguimiento se evidenció que la sociedad enajenadora URBANIZADORA MARVAL S.A.S no logró demostrar un grado de prudencia y diligencia con el que se hayan atendido los deberes, en tanto no allegó prueba que demuestre actividades encaminadas a la subsanación de los hechos establecidos en la Resolución No. 2125 del 25 de septiembre de 2019.</w:t>
      </w:r>
    </w:p>
    <w:p w14:paraId="693D2207" w14:textId="77777777" w:rsidR="003A3646" w:rsidRPr="006E1CD3" w:rsidRDefault="003A3646">
      <w:pPr>
        <w:jc w:val="both"/>
        <w:rPr>
          <w:rFonts w:ascii="Arial" w:eastAsia="Arial" w:hAnsi="Arial" w:cs="Arial"/>
          <w:sz w:val="22"/>
          <w:szCs w:val="22"/>
        </w:rPr>
      </w:pPr>
    </w:p>
    <w:p w14:paraId="693D2208" w14:textId="77777777" w:rsidR="003A3646" w:rsidRPr="006E1CD3" w:rsidRDefault="005A2B48">
      <w:pPr>
        <w:jc w:val="both"/>
        <w:rPr>
          <w:rFonts w:ascii="Arial" w:eastAsia="Arial" w:hAnsi="Arial" w:cs="Arial"/>
          <w:sz w:val="22"/>
          <w:szCs w:val="22"/>
        </w:rPr>
      </w:pPr>
      <w:r w:rsidRPr="006E1CD3">
        <w:rPr>
          <w:rFonts w:ascii="Arial" w:eastAsia="Arial" w:hAnsi="Arial" w:cs="Arial"/>
          <w:b/>
          <w:bCs/>
          <w:sz w:val="22"/>
          <w:szCs w:val="22"/>
        </w:rPr>
        <w:t>Renuencia o desacato en el cumplimiento de las órdenes impartidas por la autoridad competente:</w:t>
      </w:r>
      <w:r w:rsidRPr="006E1CD3">
        <w:rPr>
          <w:rFonts w:ascii="Arial" w:eastAsia="Arial" w:hAnsi="Arial" w:cs="Arial"/>
          <w:sz w:val="22"/>
          <w:szCs w:val="22"/>
        </w:rPr>
        <w:t xml:space="preserve"> En el curso de la actuación administrativa de seguimiento se evidencia que la sociedad enajenadora URBANIZADORA MARVAL S.A.S, ha incumplido la orden de hacer impuesta en la Resolución No. 2125 del 25 de septiembre de 2019, impartida por este Despacho, razón por la cual, la acá sancionado se encuentra inmersa en esta conducta.</w:t>
      </w:r>
    </w:p>
    <w:p w14:paraId="693D2209" w14:textId="77777777" w:rsidR="003A3646" w:rsidRPr="006E1CD3" w:rsidRDefault="003A3646">
      <w:pPr>
        <w:jc w:val="both"/>
        <w:rPr>
          <w:rFonts w:ascii="Arial" w:eastAsia="Arial" w:hAnsi="Arial" w:cs="Arial"/>
          <w:sz w:val="22"/>
          <w:szCs w:val="22"/>
        </w:rPr>
      </w:pPr>
    </w:p>
    <w:p w14:paraId="693D220A" w14:textId="77777777" w:rsidR="003A3646" w:rsidRPr="006E1CD3" w:rsidRDefault="005A2B48">
      <w:pPr>
        <w:jc w:val="both"/>
        <w:rPr>
          <w:rFonts w:ascii="Arial" w:eastAsia="Arial" w:hAnsi="Arial" w:cs="Arial"/>
          <w:sz w:val="22"/>
          <w:szCs w:val="22"/>
        </w:rPr>
      </w:pPr>
      <w:r w:rsidRPr="006E1CD3">
        <w:rPr>
          <w:rFonts w:ascii="Arial" w:eastAsia="Arial" w:hAnsi="Arial" w:cs="Arial"/>
          <w:b/>
          <w:bCs/>
          <w:sz w:val="22"/>
          <w:szCs w:val="22"/>
        </w:rPr>
        <w:t>Reconocimiento o aceptación expresa de la infracción antes del decreto de pruebas</w:t>
      </w:r>
      <w:r w:rsidRPr="006E1CD3">
        <w:rPr>
          <w:rFonts w:ascii="Arial" w:eastAsia="Arial" w:hAnsi="Arial" w:cs="Arial"/>
          <w:sz w:val="22"/>
          <w:szCs w:val="22"/>
        </w:rPr>
        <w:t xml:space="preserve">: En el curso de la presente actuación administrativa de seguimiento la citada conducta ya </w:t>
      </w:r>
      <w:r w:rsidRPr="006E1CD3">
        <w:rPr>
          <w:rFonts w:ascii="Arial" w:eastAsia="Arial" w:hAnsi="Arial" w:cs="Arial"/>
          <w:sz w:val="22"/>
          <w:szCs w:val="22"/>
        </w:rPr>
        <w:lastRenderedPageBreak/>
        <w:t>fue valorada en la etapa procesal correspondiente a la investigación que culminó con la orden de hacer contenida en la Resolución No. 2125 del 25 de septiembre de 2019, razón por la cual, este criterio no resulta aplicable en la presente instancia.</w:t>
      </w:r>
    </w:p>
    <w:p w14:paraId="693D220B" w14:textId="77777777" w:rsidR="003A3646" w:rsidRPr="006E1CD3" w:rsidRDefault="003A3646">
      <w:pPr>
        <w:jc w:val="both"/>
        <w:rPr>
          <w:rFonts w:ascii="Arial" w:eastAsia="Arial" w:hAnsi="Arial" w:cs="Arial"/>
          <w:sz w:val="22"/>
          <w:szCs w:val="22"/>
          <w:highlight w:val="white"/>
        </w:rPr>
      </w:pPr>
    </w:p>
    <w:p w14:paraId="693D220C" w14:textId="77777777" w:rsidR="003A3646" w:rsidRPr="006E1CD3" w:rsidRDefault="005A2B48">
      <w:pPr>
        <w:jc w:val="both"/>
        <w:rPr>
          <w:rFonts w:ascii="Arial" w:eastAsia="Arial" w:hAnsi="Arial" w:cs="Arial"/>
          <w:b/>
          <w:bCs/>
          <w:sz w:val="22"/>
          <w:szCs w:val="22"/>
          <w:highlight w:val="white"/>
        </w:rPr>
      </w:pPr>
      <w:r w:rsidRPr="006E1CD3">
        <w:rPr>
          <w:rFonts w:ascii="Arial" w:eastAsia="Arial" w:hAnsi="Arial" w:cs="Arial"/>
          <w:b/>
          <w:bCs/>
          <w:sz w:val="22"/>
          <w:szCs w:val="22"/>
          <w:highlight w:val="white"/>
        </w:rPr>
        <w:t>7. Indexación de la multa a imponer</w:t>
      </w:r>
    </w:p>
    <w:p w14:paraId="693D220D" w14:textId="77777777" w:rsidR="003A3646" w:rsidRPr="006E1CD3" w:rsidRDefault="003A3646">
      <w:pPr>
        <w:tabs>
          <w:tab w:val="left" w:pos="5982"/>
        </w:tabs>
        <w:jc w:val="both"/>
        <w:rPr>
          <w:rFonts w:ascii="Arial" w:eastAsia="Arial" w:hAnsi="Arial" w:cs="Arial"/>
          <w:sz w:val="22"/>
          <w:szCs w:val="22"/>
          <w:highlight w:val="white"/>
        </w:rPr>
      </w:pPr>
    </w:p>
    <w:p w14:paraId="693D220E" w14:textId="77777777" w:rsidR="003A3646" w:rsidRPr="006E1CD3" w:rsidRDefault="005A2B48">
      <w:pPr>
        <w:jc w:val="both"/>
        <w:rPr>
          <w:rFonts w:ascii="Arial" w:eastAsia="Arial" w:hAnsi="Arial" w:cs="Arial"/>
          <w:sz w:val="22"/>
          <w:szCs w:val="22"/>
          <w:highlight w:val="white"/>
        </w:rPr>
      </w:pPr>
      <w:r w:rsidRPr="006E1CD3">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693D220F" w14:textId="77777777" w:rsidR="003A3646" w:rsidRPr="006E1CD3" w:rsidRDefault="003A3646">
      <w:pPr>
        <w:jc w:val="both"/>
        <w:rPr>
          <w:rFonts w:ascii="Arial" w:eastAsia="Arial" w:hAnsi="Arial" w:cs="Arial"/>
          <w:sz w:val="22"/>
          <w:szCs w:val="22"/>
          <w:highlight w:val="white"/>
        </w:rPr>
      </w:pPr>
    </w:p>
    <w:p w14:paraId="693D2210" w14:textId="77777777" w:rsidR="003A3646" w:rsidRPr="006E1CD3" w:rsidRDefault="005A2B48">
      <w:pPr>
        <w:jc w:val="both"/>
        <w:rPr>
          <w:rFonts w:ascii="Arial" w:eastAsia="Arial" w:hAnsi="Arial" w:cs="Arial"/>
          <w:sz w:val="22"/>
          <w:szCs w:val="22"/>
          <w:highlight w:val="white"/>
        </w:rPr>
      </w:pPr>
      <w:r w:rsidRPr="006E1CD3">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693D2211" w14:textId="77777777" w:rsidR="003A3646" w:rsidRPr="006E1CD3" w:rsidRDefault="003A3646">
      <w:pPr>
        <w:jc w:val="both"/>
        <w:rPr>
          <w:rFonts w:ascii="Arial" w:eastAsia="Arial" w:hAnsi="Arial" w:cs="Arial"/>
          <w:sz w:val="22"/>
          <w:szCs w:val="22"/>
          <w:highlight w:val="white"/>
        </w:rPr>
      </w:pPr>
    </w:p>
    <w:p w14:paraId="693D2212" w14:textId="77777777" w:rsidR="003A3646" w:rsidRPr="006E1CD3" w:rsidRDefault="005A2B48">
      <w:pPr>
        <w:jc w:val="both"/>
        <w:rPr>
          <w:rFonts w:ascii="Arial" w:eastAsia="Arial" w:hAnsi="Arial" w:cs="Arial"/>
          <w:sz w:val="22"/>
          <w:szCs w:val="22"/>
          <w:highlight w:val="white"/>
        </w:rPr>
      </w:pPr>
      <w:r w:rsidRPr="006E1CD3">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sidRPr="006E1CD3">
        <w:rPr>
          <w:rFonts w:ascii="Arial" w:eastAsia="Arial" w:hAnsi="Arial" w:cs="Arial"/>
          <w:sz w:val="22"/>
          <w:szCs w:val="22"/>
          <w:highlight w:val="white"/>
          <w:vertAlign w:val="superscript"/>
        </w:rPr>
        <w:footnoteReference w:id="1"/>
      </w:r>
      <w:r w:rsidRPr="006E1CD3">
        <w:rPr>
          <w:rFonts w:ascii="Arial" w:eastAsia="Arial" w:hAnsi="Arial" w:cs="Arial"/>
          <w:sz w:val="22"/>
          <w:szCs w:val="22"/>
          <w:highlight w:val="white"/>
        </w:rPr>
        <w:t xml:space="preserve">. </w:t>
      </w:r>
    </w:p>
    <w:p w14:paraId="693D2213" w14:textId="77777777" w:rsidR="003A3646" w:rsidRPr="006E1CD3" w:rsidRDefault="003A3646">
      <w:pPr>
        <w:jc w:val="both"/>
        <w:rPr>
          <w:rFonts w:ascii="Arial" w:eastAsia="Arial" w:hAnsi="Arial" w:cs="Arial"/>
          <w:sz w:val="22"/>
          <w:szCs w:val="22"/>
          <w:highlight w:val="white"/>
        </w:rPr>
      </w:pPr>
    </w:p>
    <w:p w14:paraId="693D2214" w14:textId="77777777" w:rsidR="003A3646" w:rsidRPr="006E1CD3" w:rsidRDefault="005A2B48">
      <w:pPr>
        <w:tabs>
          <w:tab w:val="left" w:pos="4253"/>
          <w:tab w:val="right" w:pos="8504"/>
        </w:tabs>
        <w:jc w:val="both"/>
        <w:rPr>
          <w:rFonts w:ascii="Arial" w:eastAsia="Arial" w:hAnsi="Arial" w:cs="Arial"/>
          <w:sz w:val="22"/>
          <w:szCs w:val="22"/>
        </w:rPr>
      </w:pPr>
      <w:r w:rsidRPr="006E1CD3">
        <w:rPr>
          <w:rFonts w:ascii="Arial" w:eastAsia="Arial" w:hAnsi="Arial" w:cs="Arial"/>
          <w:sz w:val="22"/>
          <w:szCs w:val="22"/>
        </w:rPr>
        <w:t>Para la actualización de la sanción se da aplicación a la siguiente fórmula:</w:t>
      </w:r>
    </w:p>
    <w:p w14:paraId="693D2215" w14:textId="77777777" w:rsidR="003A3646" w:rsidRPr="006E1CD3" w:rsidRDefault="003A3646">
      <w:pPr>
        <w:tabs>
          <w:tab w:val="left" w:pos="4253"/>
          <w:tab w:val="right" w:pos="8504"/>
        </w:tabs>
        <w:jc w:val="both"/>
        <w:rPr>
          <w:rFonts w:ascii="Arial" w:eastAsia="Arial" w:hAnsi="Arial" w:cs="Arial"/>
          <w:sz w:val="22"/>
          <w:szCs w:val="22"/>
        </w:rPr>
      </w:pPr>
    </w:p>
    <w:p w14:paraId="693D2216" w14:textId="7F6145E7" w:rsidR="003A3646" w:rsidRPr="00FE38D3" w:rsidRDefault="005A2B48">
      <w:pPr>
        <w:jc w:val="center"/>
        <w:rPr>
          <w:rFonts w:ascii="Arial" w:eastAsia="Arial" w:hAnsi="Arial" w:cs="Arial"/>
          <w:sz w:val="22"/>
          <w:szCs w:val="22"/>
          <w:lang w:val="es-CO"/>
        </w:rPr>
      </w:pPr>
      <w:r w:rsidRPr="006E1CD3">
        <w:rPr>
          <w:rFonts w:ascii="Arial" w:eastAsia="Arial" w:hAnsi="Arial" w:cs="Arial"/>
          <w:b/>
          <w:bCs/>
          <w:sz w:val="22"/>
          <w:szCs w:val="22"/>
        </w:rPr>
        <w:t xml:space="preserve">        </w:t>
      </w:r>
      <w:r w:rsidRPr="00FE38D3">
        <w:rPr>
          <w:rFonts w:ascii="Arial" w:eastAsia="Arial" w:hAnsi="Arial" w:cs="Arial"/>
          <w:b/>
          <w:bCs/>
          <w:sz w:val="22"/>
          <w:szCs w:val="22"/>
          <w:lang w:val="es-CO"/>
        </w:rPr>
        <w:t>(</w:t>
      </w:r>
      <w:r w:rsidRPr="00FE38D3">
        <w:rPr>
          <w:rFonts w:ascii="Arial" w:eastAsia="Arial" w:hAnsi="Arial" w:cs="Arial"/>
          <w:sz w:val="22"/>
          <w:szCs w:val="22"/>
          <w:lang w:val="es-CO"/>
        </w:rPr>
        <w:t>IPC-F) 155</w:t>
      </w:r>
      <w:r w:rsidR="00D23782" w:rsidRPr="00FE38D3">
        <w:rPr>
          <w:rFonts w:ascii="Arial" w:eastAsia="Arial" w:hAnsi="Arial" w:cs="Arial"/>
          <w:sz w:val="22"/>
          <w:szCs w:val="22"/>
          <w:lang w:val="es-CO"/>
        </w:rPr>
        <w:t>,</w:t>
      </w:r>
      <w:r w:rsidRPr="00FE38D3">
        <w:rPr>
          <w:rFonts w:ascii="Arial" w:eastAsia="Arial" w:hAnsi="Arial" w:cs="Arial"/>
          <w:sz w:val="22"/>
          <w:szCs w:val="22"/>
          <w:lang w:val="es-CO"/>
        </w:rPr>
        <w:t>73</w:t>
      </w:r>
    </w:p>
    <w:p w14:paraId="693D2217" w14:textId="77777777" w:rsidR="003A3646" w:rsidRPr="00FE38D3" w:rsidRDefault="005A2B48">
      <w:pPr>
        <w:jc w:val="center"/>
        <w:rPr>
          <w:rFonts w:ascii="Arial" w:eastAsia="Arial" w:hAnsi="Arial" w:cs="Arial"/>
          <w:sz w:val="22"/>
          <w:szCs w:val="22"/>
          <w:lang w:val="es-CO"/>
        </w:rPr>
      </w:pPr>
      <w:r w:rsidRPr="00FE38D3">
        <w:rPr>
          <w:rFonts w:ascii="Arial" w:eastAsia="Arial" w:hAnsi="Arial" w:cs="Arial"/>
          <w:sz w:val="22"/>
          <w:szCs w:val="22"/>
          <w:lang w:val="es-CO"/>
        </w:rPr>
        <w:t>VP= (VH) $500.000 --------------------------- = $112.847.826</w:t>
      </w:r>
    </w:p>
    <w:p w14:paraId="693D2218" w14:textId="77777777" w:rsidR="003A3646" w:rsidRPr="00FE38D3" w:rsidRDefault="005A2B48">
      <w:pPr>
        <w:jc w:val="center"/>
        <w:rPr>
          <w:rFonts w:ascii="Arial" w:eastAsia="Arial" w:hAnsi="Arial" w:cs="Arial"/>
          <w:sz w:val="22"/>
          <w:szCs w:val="22"/>
          <w:lang w:val="es-CO"/>
        </w:rPr>
      </w:pPr>
      <w:r w:rsidRPr="00FE38D3">
        <w:rPr>
          <w:rFonts w:ascii="Arial" w:eastAsia="Arial" w:hAnsi="Arial" w:cs="Arial"/>
          <w:sz w:val="22"/>
          <w:szCs w:val="22"/>
          <w:lang w:val="es-CO"/>
        </w:rPr>
        <w:t xml:space="preserve">       (IPC-I) 0,69</w:t>
      </w:r>
    </w:p>
    <w:p w14:paraId="693D2219" w14:textId="77777777" w:rsidR="003A3646" w:rsidRPr="00FE38D3" w:rsidRDefault="003A3646">
      <w:pPr>
        <w:widowControl w:val="0"/>
        <w:tabs>
          <w:tab w:val="left" w:pos="4253"/>
        </w:tabs>
        <w:jc w:val="both"/>
        <w:rPr>
          <w:rFonts w:ascii="Arial" w:eastAsia="Arial" w:hAnsi="Arial" w:cs="Arial"/>
          <w:sz w:val="22"/>
          <w:szCs w:val="22"/>
          <w:lang w:val="es-CO"/>
        </w:rPr>
      </w:pPr>
    </w:p>
    <w:p w14:paraId="693D221A" w14:textId="77777777" w:rsidR="003A3646" w:rsidRPr="006E1CD3" w:rsidRDefault="005A2B48">
      <w:pPr>
        <w:widowControl w:val="0"/>
        <w:tabs>
          <w:tab w:val="left" w:pos="4253"/>
        </w:tabs>
        <w:jc w:val="both"/>
        <w:rPr>
          <w:rFonts w:ascii="Arial" w:eastAsia="Arial" w:hAnsi="Arial" w:cs="Arial"/>
          <w:sz w:val="22"/>
          <w:szCs w:val="22"/>
        </w:rPr>
      </w:pPr>
      <w:r w:rsidRPr="006E1CD3">
        <w:rPr>
          <w:rFonts w:ascii="Arial" w:eastAsia="Arial" w:hAnsi="Arial" w:cs="Arial"/>
          <w:sz w:val="22"/>
          <w:szCs w:val="22"/>
        </w:rPr>
        <w:t xml:space="preserve">Siendo (VP) el valor presente de la sanción, y (VH) al valor de la multa establecida en el </w:t>
      </w:r>
      <w:r w:rsidRPr="006E1CD3">
        <w:rPr>
          <w:rFonts w:ascii="Arial" w:eastAsia="Arial" w:hAnsi="Arial" w:cs="Arial"/>
          <w:sz w:val="22"/>
          <w:szCs w:val="22"/>
        </w:rPr>
        <w:lastRenderedPageBreak/>
        <w:t xml:space="preserve">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w:t>
      </w:r>
      <w:hyperlink r:id="rId8">
        <w:r w:rsidRPr="006E1CD3">
          <w:rPr>
            <w:rFonts w:ascii="Arial" w:eastAsia="Arial" w:hAnsi="Arial" w:cs="Arial"/>
            <w:sz w:val="22"/>
            <w:szCs w:val="22"/>
            <w:u w:val="single"/>
          </w:rPr>
          <w:t>http://www.dane.gov.co/</w:t>
        </w:r>
      </w:hyperlink>
      <w:r w:rsidRPr="006E1CD3">
        <w:rPr>
          <w:rFonts w:ascii="Arial" w:eastAsia="Arial" w:hAnsi="Arial" w:cs="Arial"/>
          <w:sz w:val="22"/>
          <w:szCs w:val="22"/>
        </w:rPr>
        <w:t xml:space="preserve">. </w:t>
      </w:r>
    </w:p>
    <w:p w14:paraId="693D221B" w14:textId="77777777" w:rsidR="003A3646" w:rsidRPr="006E1CD3" w:rsidRDefault="003A3646">
      <w:pPr>
        <w:tabs>
          <w:tab w:val="left" w:pos="4253"/>
          <w:tab w:val="right" w:pos="8504"/>
        </w:tabs>
        <w:jc w:val="both"/>
        <w:rPr>
          <w:rFonts w:ascii="Arial" w:eastAsia="Arial" w:hAnsi="Arial" w:cs="Arial"/>
          <w:sz w:val="22"/>
          <w:szCs w:val="22"/>
        </w:rPr>
      </w:pPr>
    </w:p>
    <w:p w14:paraId="693D221C" w14:textId="77777777" w:rsidR="003A3646" w:rsidRPr="006E1CD3" w:rsidRDefault="005A2B48">
      <w:pPr>
        <w:tabs>
          <w:tab w:val="center" w:pos="4419"/>
          <w:tab w:val="right" w:pos="8838"/>
          <w:tab w:val="left" w:pos="4253"/>
        </w:tabs>
        <w:jc w:val="both"/>
        <w:rPr>
          <w:rFonts w:ascii="Arial" w:eastAsia="Arial" w:hAnsi="Arial" w:cs="Arial"/>
          <w:sz w:val="22"/>
          <w:szCs w:val="22"/>
        </w:rPr>
      </w:pPr>
      <w:r w:rsidRPr="006E1CD3">
        <w:rPr>
          <w:rFonts w:ascii="Arial" w:eastAsia="Arial" w:hAnsi="Arial" w:cs="Arial"/>
          <w:sz w:val="22"/>
          <w:szCs w:val="22"/>
        </w:rPr>
        <w:t>Por lo tanto, de acuerdo con la fórmula enunciada anteriormente, el valor correspondiente a los DIEZ MIL PESOS ($10.000) M/CTE, que indexados a la fecha corresponden a DOS MILLONES DOSCIENTOS CINCUENTA Y SEIS MIL NOVECIENTOS CINCUENTA Y SIETE PESOS ($2.256.957) M/CTE, y los QUINIENTOS MIL PESOS ($500.000) M/CTE, que corresponden a CIENTO DOCE MILLONES OCHOCIENTOS CUARENTA Y SIETE MIL OCHOCIENTOS VEINTISÉIS PESOS ($112.847.826) M/CTE, lo anterior nos ilustra respecto de los límites de la sanción, más no respecto de la multa a imponer.</w:t>
      </w:r>
    </w:p>
    <w:p w14:paraId="693D221D" w14:textId="77777777" w:rsidR="003A3646" w:rsidRPr="006E1CD3" w:rsidRDefault="003A3646">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693D221E" w14:textId="77777777" w:rsidR="003A3646" w:rsidRPr="006E1CD3" w:rsidRDefault="005A2B48">
      <w:pPr>
        <w:tabs>
          <w:tab w:val="left" w:pos="3716"/>
        </w:tabs>
        <w:jc w:val="both"/>
        <w:rPr>
          <w:rFonts w:ascii="Arial" w:eastAsia="Arial" w:hAnsi="Arial" w:cs="Arial"/>
          <w:sz w:val="22"/>
          <w:szCs w:val="22"/>
        </w:rPr>
      </w:pPr>
      <w:r w:rsidRPr="006E1CD3">
        <w:rPr>
          <w:rFonts w:ascii="Arial" w:eastAsia="Arial" w:hAnsi="Arial" w:cs="Arial"/>
          <w:sz w:val="22"/>
          <w:szCs w:val="22"/>
          <w:highlight w:val="white"/>
        </w:rPr>
        <w:t xml:space="preserve">Por lo anterior, </w:t>
      </w:r>
      <w:r w:rsidRPr="006E1CD3">
        <w:rPr>
          <w:rFonts w:ascii="Arial" w:eastAsia="Arial" w:hAnsi="Arial" w:cs="Arial"/>
          <w:sz w:val="22"/>
          <w:szCs w:val="22"/>
        </w:rPr>
        <w:t>teniendo en cuenta que en el derecho administrativo el bien jurídico protegido es el “</w:t>
      </w:r>
      <w:r w:rsidRPr="006E1CD3">
        <w:rPr>
          <w:rFonts w:ascii="Arial" w:eastAsia="Arial" w:hAnsi="Arial" w:cs="Arial"/>
          <w:i/>
          <w:iCs/>
          <w:sz w:val="22"/>
          <w:szCs w:val="22"/>
        </w:rPr>
        <w:t>cumplimiento de la legalidad</w:t>
      </w:r>
      <w:r w:rsidRPr="006E1CD3">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sidRPr="006E1CD3">
        <w:rPr>
          <w:rFonts w:ascii="Arial" w:eastAsia="Arial" w:hAnsi="Arial" w:cs="Arial"/>
          <w:i/>
          <w:iCs/>
          <w:sz w:val="22"/>
          <w:szCs w:val="22"/>
        </w:rPr>
        <w:t>reproche recae sobre la mera conducta</w:t>
      </w:r>
      <w:r w:rsidRPr="006E1CD3">
        <w:rPr>
          <w:rFonts w:ascii="Arial" w:eastAsia="Arial" w:hAnsi="Arial" w:cs="Arial"/>
          <w:sz w:val="22"/>
          <w:szCs w:val="22"/>
        </w:rPr>
        <w:t>”, o en otras palabras, sobre el incumplimiento de la norma</w:t>
      </w:r>
      <w:r w:rsidRPr="006E1CD3">
        <w:rPr>
          <w:rFonts w:ascii="Arial" w:eastAsia="Arial" w:hAnsi="Arial" w:cs="Arial"/>
          <w:sz w:val="22"/>
          <w:szCs w:val="22"/>
          <w:vertAlign w:val="superscript"/>
        </w:rPr>
        <w:footnoteReference w:id="2"/>
      </w:r>
      <w:r w:rsidRPr="006E1CD3">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sidRPr="006E1CD3">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sidRPr="006E1CD3">
        <w:rPr>
          <w:rFonts w:ascii="Arial" w:eastAsia="Arial" w:hAnsi="Arial" w:cs="Arial"/>
          <w:sz w:val="22"/>
          <w:szCs w:val="22"/>
        </w:rPr>
        <w:t xml:space="preserve">por valor de DIECISIETE MIL PESOS ($17.000) M/CTE, debiendo ser indexados según lo dicho y la fórmula anteriormente enunciada, así: </w:t>
      </w:r>
    </w:p>
    <w:p w14:paraId="693D221F" w14:textId="77777777" w:rsidR="003A3646" w:rsidRPr="006E1CD3" w:rsidRDefault="003A3646">
      <w:pPr>
        <w:jc w:val="both"/>
        <w:rPr>
          <w:rFonts w:ascii="Arial" w:eastAsia="Arial" w:hAnsi="Arial" w:cs="Arial"/>
          <w:sz w:val="22"/>
          <w:szCs w:val="22"/>
        </w:rPr>
      </w:pPr>
    </w:p>
    <w:p w14:paraId="693D2220" w14:textId="381DDE02" w:rsidR="003A3646" w:rsidRPr="00FE38D3" w:rsidRDefault="005A2B48">
      <w:pPr>
        <w:jc w:val="center"/>
        <w:rPr>
          <w:rFonts w:ascii="Arial" w:eastAsia="Arial" w:hAnsi="Arial" w:cs="Arial"/>
          <w:sz w:val="22"/>
          <w:szCs w:val="22"/>
          <w:lang w:val="es-CO"/>
        </w:rPr>
      </w:pPr>
      <w:r w:rsidRPr="006E1CD3">
        <w:rPr>
          <w:rFonts w:ascii="Arial" w:eastAsia="Arial" w:hAnsi="Arial" w:cs="Arial"/>
          <w:sz w:val="22"/>
          <w:szCs w:val="22"/>
        </w:rPr>
        <w:t xml:space="preserve">        </w:t>
      </w:r>
      <w:r w:rsidRPr="00FE38D3">
        <w:rPr>
          <w:rFonts w:ascii="Arial" w:eastAsia="Arial" w:hAnsi="Arial" w:cs="Arial"/>
          <w:sz w:val="22"/>
          <w:szCs w:val="22"/>
          <w:lang w:val="es-CO"/>
        </w:rPr>
        <w:t>(IPC-F) 155</w:t>
      </w:r>
      <w:r w:rsidR="001A0E82" w:rsidRPr="00FE38D3">
        <w:rPr>
          <w:rFonts w:ascii="Arial" w:eastAsia="Arial" w:hAnsi="Arial" w:cs="Arial"/>
          <w:sz w:val="22"/>
          <w:szCs w:val="22"/>
          <w:lang w:val="es-CO"/>
        </w:rPr>
        <w:t>,</w:t>
      </w:r>
      <w:r w:rsidRPr="00FE38D3">
        <w:rPr>
          <w:rFonts w:ascii="Arial" w:eastAsia="Arial" w:hAnsi="Arial" w:cs="Arial"/>
          <w:sz w:val="22"/>
          <w:szCs w:val="22"/>
          <w:lang w:val="es-CO"/>
        </w:rPr>
        <w:t>73</w:t>
      </w:r>
    </w:p>
    <w:p w14:paraId="693D2221" w14:textId="77777777" w:rsidR="003A3646" w:rsidRPr="00FE38D3" w:rsidRDefault="005A2B48">
      <w:pPr>
        <w:jc w:val="center"/>
        <w:rPr>
          <w:rFonts w:ascii="Arial" w:eastAsia="Arial" w:hAnsi="Arial" w:cs="Arial"/>
          <w:sz w:val="22"/>
          <w:szCs w:val="22"/>
          <w:lang w:val="es-CO"/>
        </w:rPr>
      </w:pPr>
      <w:r w:rsidRPr="00FE38D3">
        <w:rPr>
          <w:rFonts w:ascii="Arial" w:eastAsia="Arial" w:hAnsi="Arial" w:cs="Arial"/>
          <w:sz w:val="22"/>
          <w:szCs w:val="22"/>
          <w:lang w:val="es-CO"/>
        </w:rPr>
        <w:t>VP= (VH) $17.000 ------------------------------ = $3.836.826</w:t>
      </w:r>
    </w:p>
    <w:p w14:paraId="693D2222" w14:textId="77777777" w:rsidR="003A3646" w:rsidRPr="00FE38D3" w:rsidRDefault="005A2B48">
      <w:pPr>
        <w:jc w:val="center"/>
        <w:rPr>
          <w:rFonts w:ascii="Arial" w:eastAsia="Arial" w:hAnsi="Arial" w:cs="Arial"/>
          <w:sz w:val="22"/>
          <w:szCs w:val="22"/>
          <w:lang w:val="es-CO"/>
        </w:rPr>
      </w:pPr>
      <w:r w:rsidRPr="00FE38D3">
        <w:rPr>
          <w:rFonts w:ascii="Arial" w:eastAsia="Arial" w:hAnsi="Arial" w:cs="Arial"/>
          <w:sz w:val="22"/>
          <w:szCs w:val="22"/>
          <w:lang w:val="es-CO"/>
        </w:rPr>
        <w:t xml:space="preserve">      (IPC-I) 0,69</w:t>
      </w:r>
    </w:p>
    <w:p w14:paraId="693D2223" w14:textId="77777777" w:rsidR="003A3646" w:rsidRPr="00FE38D3" w:rsidRDefault="003A3646">
      <w:pPr>
        <w:jc w:val="both"/>
        <w:rPr>
          <w:rFonts w:ascii="Arial" w:eastAsia="Arial" w:hAnsi="Arial" w:cs="Arial"/>
          <w:sz w:val="22"/>
          <w:szCs w:val="22"/>
          <w:lang w:val="es-CO"/>
        </w:rPr>
      </w:pPr>
    </w:p>
    <w:p w14:paraId="693D2224" w14:textId="77777777" w:rsidR="003A3646" w:rsidRPr="006E1CD3" w:rsidRDefault="005A2B48">
      <w:pPr>
        <w:jc w:val="both"/>
        <w:rPr>
          <w:rFonts w:ascii="Arial" w:eastAsia="Arial" w:hAnsi="Arial" w:cs="Arial"/>
          <w:sz w:val="22"/>
          <w:szCs w:val="22"/>
          <w:highlight w:val="white"/>
        </w:rPr>
      </w:pPr>
      <w:r w:rsidRPr="006E1CD3">
        <w:rPr>
          <w:rFonts w:ascii="Arial" w:eastAsia="Arial" w:hAnsi="Arial" w:cs="Arial"/>
          <w:sz w:val="22"/>
          <w:szCs w:val="22"/>
        </w:rPr>
        <w:t xml:space="preserve">Que, conforme a la liquidación antes citada, el valor de la multa a imponer a la sociedad enajenadora URBANIZADORA MARVAL S.A.S, identificada con NIT 830.012.053-3, </w:t>
      </w:r>
      <w:r w:rsidRPr="006E1CD3">
        <w:rPr>
          <w:rFonts w:ascii="Arial" w:eastAsia="Arial" w:hAnsi="Arial" w:cs="Arial"/>
          <w:sz w:val="22"/>
          <w:szCs w:val="22"/>
          <w:highlight w:val="white"/>
        </w:rPr>
        <w:t>por incumplimiento de la orden de hacer ya mencionada será de TRES MILLONES OCHOCIENTOS TREINTA Y SEIS MIL OCHOCIENTOS VEINTISÉIS PESOS (</w:t>
      </w:r>
      <w:r w:rsidRPr="006E1CD3">
        <w:rPr>
          <w:rFonts w:ascii="Arial" w:eastAsia="Arial" w:hAnsi="Arial" w:cs="Arial"/>
          <w:sz w:val="22"/>
          <w:szCs w:val="22"/>
        </w:rPr>
        <w:t>$3.836.826</w:t>
      </w:r>
      <w:r w:rsidRPr="006E1CD3">
        <w:rPr>
          <w:rFonts w:ascii="Arial" w:eastAsia="Arial" w:hAnsi="Arial" w:cs="Arial"/>
          <w:sz w:val="22"/>
          <w:szCs w:val="22"/>
          <w:highlight w:val="white"/>
        </w:rPr>
        <w:t>) M/CTE, s</w:t>
      </w:r>
      <w:r w:rsidRPr="006E1CD3">
        <w:rPr>
          <w:rFonts w:ascii="Arial" w:eastAsia="Arial" w:hAnsi="Arial" w:cs="Arial"/>
          <w:sz w:val="22"/>
          <w:szCs w:val="22"/>
        </w:rPr>
        <w:t xml:space="preserve">in perjuicio de que vuelvan a ser impuestas nuevas multas de continuar en incumplimiento.    </w:t>
      </w:r>
    </w:p>
    <w:p w14:paraId="693D2225" w14:textId="77777777" w:rsidR="003A3646" w:rsidRPr="006E1CD3" w:rsidRDefault="003A3646">
      <w:pPr>
        <w:rPr>
          <w:rFonts w:ascii="Arial" w:eastAsia="Arial" w:hAnsi="Arial" w:cs="Arial"/>
          <w:b/>
          <w:bCs/>
          <w:sz w:val="22"/>
          <w:szCs w:val="22"/>
        </w:rPr>
      </w:pPr>
    </w:p>
    <w:p w14:paraId="693D2226" w14:textId="77777777" w:rsidR="003A3646" w:rsidRPr="006E1CD3" w:rsidRDefault="005A2B48">
      <w:pPr>
        <w:jc w:val="both"/>
        <w:rPr>
          <w:rFonts w:ascii="Arial" w:eastAsia="Arial" w:hAnsi="Arial" w:cs="Arial"/>
          <w:b/>
          <w:bCs/>
          <w:sz w:val="22"/>
          <w:szCs w:val="22"/>
          <w:highlight w:val="white"/>
        </w:rPr>
      </w:pPr>
      <w:r w:rsidRPr="006E1CD3">
        <w:rPr>
          <w:rFonts w:ascii="Arial" w:eastAsia="Arial" w:hAnsi="Arial" w:cs="Arial"/>
          <w:sz w:val="22"/>
          <w:szCs w:val="22"/>
          <w:highlight w:val="white"/>
        </w:rPr>
        <w:t>En mérito de lo expuesto este Despacho,</w:t>
      </w:r>
      <w:r w:rsidRPr="006E1CD3">
        <w:rPr>
          <w:rFonts w:ascii="Arial" w:eastAsia="Arial" w:hAnsi="Arial" w:cs="Arial"/>
          <w:b/>
          <w:bCs/>
          <w:sz w:val="22"/>
          <w:szCs w:val="22"/>
          <w:highlight w:val="white"/>
        </w:rPr>
        <w:t xml:space="preserve"> </w:t>
      </w:r>
    </w:p>
    <w:p w14:paraId="693D2228" w14:textId="77777777" w:rsidR="003A3646" w:rsidRPr="006E1CD3" w:rsidRDefault="005A2B48">
      <w:pPr>
        <w:jc w:val="center"/>
        <w:rPr>
          <w:rFonts w:ascii="Arial" w:eastAsia="Arial" w:hAnsi="Arial" w:cs="Arial"/>
          <w:b/>
          <w:bCs/>
          <w:sz w:val="22"/>
          <w:szCs w:val="22"/>
          <w:highlight w:val="white"/>
        </w:rPr>
      </w:pPr>
      <w:r w:rsidRPr="006E1CD3">
        <w:rPr>
          <w:rFonts w:ascii="Arial" w:eastAsia="Arial" w:hAnsi="Arial" w:cs="Arial"/>
          <w:b/>
          <w:bCs/>
          <w:sz w:val="22"/>
          <w:szCs w:val="22"/>
          <w:highlight w:val="white"/>
        </w:rPr>
        <w:lastRenderedPageBreak/>
        <w:t>RESUELVE</w:t>
      </w:r>
    </w:p>
    <w:p w14:paraId="693D2229" w14:textId="77777777" w:rsidR="003A3646" w:rsidRPr="006E1CD3" w:rsidRDefault="003A3646">
      <w:pPr>
        <w:jc w:val="both"/>
        <w:rPr>
          <w:rFonts w:ascii="Arial" w:eastAsia="Arial" w:hAnsi="Arial" w:cs="Arial"/>
          <w:sz w:val="22"/>
          <w:szCs w:val="22"/>
        </w:rPr>
      </w:pPr>
    </w:p>
    <w:p w14:paraId="693D222A" w14:textId="77777777" w:rsidR="003A3646" w:rsidRPr="006E1CD3" w:rsidRDefault="005A2B48">
      <w:pPr>
        <w:jc w:val="both"/>
        <w:rPr>
          <w:rFonts w:ascii="Arial" w:eastAsia="Arial" w:hAnsi="Arial" w:cs="Arial"/>
          <w:sz w:val="22"/>
          <w:szCs w:val="22"/>
        </w:rPr>
      </w:pPr>
      <w:r w:rsidRPr="006E1CD3">
        <w:rPr>
          <w:rFonts w:ascii="Arial" w:eastAsia="Arial" w:hAnsi="Arial" w:cs="Arial"/>
          <w:b/>
          <w:bCs/>
          <w:sz w:val="22"/>
          <w:szCs w:val="22"/>
        </w:rPr>
        <w:t>ARTÍCULO PRIMERO:</w:t>
      </w:r>
      <w:r w:rsidRPr="006E1CD3">
        <w:rPr>
          <w:rFonts w:ascii="Arial" w:eastAsia="Arial" w:hAnsi="Arial" w:cs="Arial"/>
          <w:sz w:val="22"/>
          <w:szCs w:val="22"/>
        </w:rPr>
        <w:t xml:space="preserve"> IMPONER a la sociedad enajenadora URBANIZADORA MARVAL S.A.S, identificada con NIT 830.012.053-3 multa de DIECISIETE MIL PESOS ($17.000) M/CTE, que indexados a la fecha corresponden a la suma de </w:t>
      </w:r>
      <w:r w:rsidRPr="006E1CD3">
        <w:rPr>
          <w:rFonts w:ascii="Arial" w:eastAsia="Arial" w:hAnsi="Arial" w:cs="Arial"/>
          <w:sz w:val="22"/>
          <w:szCs w:val="22"/>
          <w:highlight w:val="white"/>
        </w:rPr>
        <w:t>TRES MILLONES OCHOCIENTOS TREINTA Y SEIS MIL OCHOCIENTOS VEINTISÉIS PESOS (</w:t>
      </w:r>
      <w:r w:rsidRPr="006E1CD3">
        <w:rPr>
          <w:rFonts w:ascii="Arial" w:eastAsia="Arial" w:hAnsi="Arial" w:cs="Arial"/>
          <w:sz w:val="22"/>
          <w:szCs w:val="22"/>
        </w:rPr>
        <w:t>$3.836.826</w:t>
      </w:r>
      <w:r w:rsidRPr="006E1CD3">
        <w:rPr>
          <w:rFonts w:ascii="Arial" w:eastAsia="Arial" w:hAnsi="Arial" w:cs="Arial"/>
          <w:sz w:val="22"/>
          <w:szCs w:val="22"/>
          <w:highlight w:val="white"/>
        </w:rPr>
        <w:t xml:space="preserve">) M/CTE, </w:t>
      </w:r>
      <w:r w:rsidRPr="006E1CD3">
        <w:rPr>
          <w:rFonts w:ascii="Arial" w:eastAsia="Arial" w:hAnsi="Arial" w:cs="Arial"/>
          <w:sz w:val="22"/>
          <w:szCs w:val="22"/>
        </w:rPr>
        <w:t>de conformidad con lo señalado en la parte motiva del presente acto administrativo, sin perjuicio a que se impongan multas sucesivas hasta tanto se dé cumplimiento total a las órdenes emitidas por esta Dirección en la Resolución No. 2125 del 25 de septiembre de 2019</w:t>
      </w:r>
      <w:r w:rsidRPr="006E1CD3">
        <w:rPr>
          <w:rFonts w:ascii="Arial" w:eastAsia="Arial" w:hAnsi="Arial" w:cs="Arial"/>
          <w:i/>
          <w:iCs/>
          <w:sz w:val="22"/>
          <w:szCs w:val="22"/>
        </w:rPr>
        <w:t>, “Por la cual se impone una sanción y se imparte una orden</w:t>
      </w:r>
      <w:r w:rsidRPr="006E1CD3">
        <w:rPr>
          <w:rFonts w:ascii="Arial" w:eastAsia="Arial" w:hAnsi="Arial" w:cs="Arial"/>
          <w:sz w:val="22"/>
          <w:szCs w:val="22"/>
        </w:rPr>
        <w:t xml:space="preserve">”, según lo dispuesto en el inciso segundo numeral 9 del artículo 2º del Decreto Ley 078 de 1987.    </w:t>
      </w:r>
    </w:p>
    <w:p w14:paraId="693D222B" w14:textId="77777777" w:rsidR="003A3646" w:rsidRPr="006E1CD3" w:rsidRDefault="003A3646">
      <w:pPr>
        <w:pBdr>
          <w:top w:val="nil"/>
          <w:left w:val="nil"/>
          <w:bottom w:val="nil"/>
          <w:right w:val="nil"/>
          <w:between w:val="nil"/>
        </w:pBdr>
        <w:jc w:val="both"/>
        <w:rPr>
          <w:rFonts w:ascii="Arial" w:eastAsia="Arial" w:hAnsi="Arial" w:cs="Arial"/>
          <w:b/>
          <w:bCs/>
          <w:sz w:val="22"/>
          <w:szCs w:val="22"/>
          <w:highlight w:val="white"/>
        </w:rPr>
      </w:pPr>
    </w:p>
    <w:p w14:paraId="693D222C" w14:textId="77777777" w:rsidR="003A3646" w:rsidRPr="006E1CD3" w:rsidRDefault="005A2B48">
      <w:pPr>
        <w:pBdr>
          <w:top w:val="nil"/>
          <w:left w:val="nil"/>
          <w:bottom w:val="nil"/>
          <w:right w:val="nil"/>
          <w:between w:val="nil"/>
        </w:pBdr>
        <w:jc w:val="both"/>
        <w:rPr>
          <w:rFonts w:ascii="Arial" w:eastAsia="Arial" w:hAnsi="Arial" w:cs="Arial"/>
          <w:sz w:val="22"/>
          <w:szCs w:val="22"/>
        </w:rPr>
      </w:pPr>
      <w:r w:rsidRPr="006E1CD3">
        <w:rPr>
          <w:rFonts w:ascii="Arial" w:eastAsia="Arial" w:hAnsi="Arial" w:cs="Arial"/>
          <w:b/>
          <w:bCs/>
          <w:sz w:val="22"/>
          <w:szCs w:val="22"/>
          <w:highlight w:val="white"/>
        </w:rPr>
        <w:t>ARTÍCULO</w:t>
      </w:r>
      <w:r w:rsidRPr="006E1CD3">
        <w:rPr>
          <w:rFonts w:ascii="Arial" w:eastAsia="Arial" w:hAnsi="Arial" w:cs="Arial"/>
          <w:sz w:val="22"/>
          <w:szCs w:val="22"/>
        </w:rPr>
        <w:t xml:space="preserve"> </w:t>
      </w:r>
      <w:r w:rsidRPr="006E1CD3">
        <w:rPr>
          <w:rFonts w:ascii="Arial" w:eastAsia="Arial" w:hAnsi="Arial" w:cs="Arial"/>
          <w:b/>
          <w:bCs/>
          <w:sz w:val="22"/>
          <w:szCs w:val="22"/>
        </w:rPr>
        <w:t>SEGUNDO</w:t>
      </w:r>
      <w:r w:rsidRPr="006E1CD3">
        <w:rPr>
          <w:rFonts w:ascii="Arial" w:eastAsia="Arial" w:hAnsi="Arial" w:cs="Arial"/>
          <w:b/>
          <w:bCs/>
          <w:sz w:val="22"/>
          <w:szCs w:val="22"/>
          <w:highlight w:val="white"/>
        </w:rPr>
        <w:t xml:space="preserve">: </w:t>
      </w:r>
      <w:r w:rsidRPr="006E1CD3">
        <w:rPr>
          <w:rFonts w:ascii="Arial" w:eastAsia="Arial" w:hAnsi="Arial" w:cs="Arial"/>
          <w:sz w:val="22"/>
          <w:szCs w:val="22"/>
        </w:rPr>
        <w:t>El pago de la multa impuesta deberá ser cancelada a partir de la ejecutoria de la presente Resolución, trámite para lo cual se requiere solicitar “</w:t>
      </w:r>
      <w:r w:rsidRPr="006E1CD3">
        <w:rPr>
          <w:rFonts w:ascii="Arial" w:eastAsia="Arial" w:hAnsi="Arial" w:cs="Arial"/>
          <w:i/>
          <w:iCs/>
          <w:sz w:val="22"/>
          <w:szCs w:val="22"/>
        </w:rPr>
        <w:t>Formato de Conceptos Varios”</w:t>
      </w:r>
      <w:r w:rsidRPr="006E1CD3">
        <w:rPr>
          <w:rFonts w:ascii="Arial" w:eastAsia="Arial" w:hAnsi="Arial" w:cs="Arial"/>
          <w:sz w:val="22"/>
          <w:szCs w:val="22"/>
        </w:rPr>
        <w:t xml:space="preserve"> al correo electrónico </w:t>
      </w:r>
      <w:hyperlink r:id="rId9">
        <w:r w:rsidRPr="006E1CD3">
          <w:rPr>
            <w:rFonts w:ascii="Arial" w:eastAsia="Arial" w:hAnsi="Arial" w:cs="Arial"/>
            <w:sz w:val="22"/>
            <w:szCs w:val="22"/>
            <w:u w:val="single"/>
          </w:rPr>
          <w:t>cobropersuasivo@habitatbogota.gov.co</w:t>
        </w:r>
      </w:hyperlink>
      <w:r w:rsidRPr="006E1CD3">
        <w:rPr>
          <w:rFonts w:ascii="Arial" w:eastAsia="Arial" w:hAnsi="Arial" w:cs="Arial"/>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10">
        <w:r w:rsidRPr="006E1CD3">
          <w:rPr>
            <w:rFonts w:ascii="Arial" w:eastAsia="Arial" w:hAnsi="Arial" w:cs="Arial"/>
            <w:sz w:val="22"/>
            <w:szCs w:val="22"/>
            <w:u w:val="single"/>
          </w:rPr>
          <w:t>ventanilladecorrespondencia@habitatbogota.gov.co</w:t>
        </w:r>
      </w:hyperlink>
      <w:r w:rsidRPr="006E1CD3">
        <w:rPr>
          <w:rFonts w:ascii="Arial" w:eastAsia="Arial" w:hAnsi="Arial" w:cs="Arial"/>
          <w:sz w:val="22"/>
          <w:szCs w:val="22"/>
        </w:rPr>
        <w:t>, una fotocopia del recibo de pago, acompañada de un oficio remisorio.</w:t>
      </w:r>
    </w:p>
    <w:p w14:paraId="693D222D" w14:textId="77777777" w:rsidR="003A3646" w:rsidRPr="006E1CD3" w:rsidRDefault="005A2B48">
      <w:pPr>
        <w:pBdr>
          <w:top w:val="nil"/>
          <w:left w:val="nil"/>
          <w:bottom w:val="nil"/>
          <w:right w:val="nil"/>
          <w:between w:val="nil"/>
        </w:pBdr>
        <w:jc w:val="both"/>
        <w:rPr>
          <w:rFonts w:ascii="Arial" w:eastAsia="Arial" w:hAnsi="Arial" w:cs="Arial"/>
          <w:sz w:val="22"/>
          <w:szCs w:val="22"/>
        </w:rPr>
      </w:pPr>
      <w:r w:rsidRPr="006E1CD3">
        <w:rPr>
          <w:rFonts w:ascii="Arial" w:eastAsia="Arial" w:hAnsi="Arial" w:cs="Arial"/>
          <w:sz w:val="22"/>
          <w:szCs w:val="22"/>
        </w:rPr>
        <w:t>  </w:t>
      </w:r>
    </w:p>
    <w:p w14:paraId="693D222E" w14:textId="77777777" w:rsidR="003A3646" w:rsidRPr="006E1CD3" w:rsidRDefault="005A2B48">
      <w:pPr>
        <w:pBdr>
          <w:top w:val="nil"/>
          <w:left w:val="nil"/>
          <w:bottom w:val="nil"/>
          <w:right w:val="nil"/>
          <w:between w:val="nil"/>
        </w:pBdr>
        <w:jc w:val="both"/>
        <w:rPr>
          <w:rFonts w:ascii="Arial" w:eastAsia="Arial" w:hAnsi="Arial" w:cs="Arial"/>
          <w:sz w:val="22"/>
          <w:szCs w:val="22"/>
        </w:rPr>
      </w:pPr>
      <w:r w:rsidRPr="006E1CD3">
        <w:rPr>
          <w:rFonts w:ascii="Arial" w:eastAsia="Arial" w:hAnsi="Arial" w:cs="Arial"/>
          <w:b/>
          <w:bCs/>
          <w:sz w:val="22"/>
          <w:szCs w:val="22"/>
        </w:rPr>
        <w:t>ARTÍCULO TERCERO: </w:t>
      </w:r>
      <w:r w:rsidRPr="006E1CD3">
        <w:rPr>
          <w:rFonts w:ascii="Arial" w:eastAsia="Arial" w:hAnsi="Arial" w:cs="Arial"/>
          <w:sz w:val="22"/>
          <w:szCs w:val="22"/>
        </w:rPr>
        <w:t>La presente Resolución presta mérito ejecutivo y causa intereses moratorios del 12% anual, desde su 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693D222F" w14:textId="77777777" w:rsidR="003A3646" w:rsidRPr="006E1CD3" w:rsidRDefault="003A3646">
      <w:pPr>
        <w:pBdr>
          <w:top w:val="nil"/>
          <w:left w:val="nil"/>
          <w:bottom w:val="nil"/>
          <w:right w:val="nil"/>
          <w:between w:val="nil"/>
        </w:pBdr>
        <w:jc w:val="both"/>
        <w:rPr>
          <w:rFonts w:ascii="Arial" w:eastAsia="Arial" w:hAnsi="Arial" w:cs="Arial"/>
          <w:sz w:val="22"/>
          <w:szCs w:val="22"/>
        </w:rPr>
      </w:pPr>
    </w:p>
    <w:p w14:paraId="693D2230" w14:textId="7D6158AE" w:rsidR="003A3646" w:rsidRPr="006E1CD3" w:rsidRDefault="005A2B48">
      <w:pPr>
        <w:pBdr>
          <w:top w:val="nil"/>
          <w:left w:val="nil"/>
          <w:bottom w:val="nil"/>
          <w:right w:val="nil"/>
          <w:between w:val="nil"/>
        </w:pBdr>
        <w:jc w:val="both"/>
        <w:rPr>
          <w:rFonts w:ascii="Arial" w:eastAsia="Arial" w:hAnsi="Arial" w:cs="Arial"/>
          <w:sz w:val="22"/>
          <w:szCs w:val="22"/>
        </w:rPr>
      </w:pPr>
      <w:r w:rsidRPr="006E1CD3">
        <w:rPr>
          <w:rFonts w:ascii="Arial" w:eastAsia="Arial" w:hAnsi="Arial" w:cs="Arial"/>
          <w:b/>
          <w:bCs/>
          <w:sz w:val="22"/>
          <w:szCs w:val="22"/>
        </w:rPr>
        <w:t>ARTÍCULO CUARTO</w:t>
      </w:r>
      <w:r w:rsidRPr="006E1CD3">
        <w:rPr>
          <w:rFonts w:ascii="Arial" w:eastAsia="Arial" w:hAnsi="Arial" w:cs="Arial"/>
          <w:sz w:val="22"/>
          <w:szCs w:val="22"/>
        </w:rPr>
        <w:t xml:space="preserve">: Notificar el contenido de la presente Resolución al representante legal y/o al apoderado de la sociedad enajenadora URBANIZADORA MARVAL S.A.S, identificada con NIT 830.012.053-3 para lo cual deberá </w:t>
      </w:r>
      <w:r w:rsidR="00FD5984">
        <w:rPr>
          <w:rFonts w:ascii="Arial" w:eastAsia="Arial" w:hAnsi="Arial" w:cs="Arial"/>
          <w:sz w:val="22"/>
          <w:szCs w:val="22"/>
        </w:rPr>
        <w:t xml:space="preserve">notificarse </w:t>
      </w:r>
      <w:r w:rsidRPr="006E1CD3">
        <w:rPr>
          <w:rFonts w:ascii="Arial" w:eastAsia="Arial" w:hAnsi="Arial" w:cs="Arial"/>
          <w:sz w:val="22"/>
          <w:szCs w:val="22"/>
        </w:rPr>
        <w:t xml:space="preserve">a la dirección electrónica </w:t>
      </w:r>
      <w:hyperlink r:id="rId11">
        <w:r w:rsidRPr="006E1CD3">
          <w:rPr>
            <w:rFonts w:ascii="Arial" w:eastAsia="Arial" w:hAnsi="Arial" w:cs="Arial"/>
            <w:b/>
            <w:bCs/>
            <w:sz w:val="22"/>
            <w:szCs w:val="22"/>
            <w:u w:val="single"/>
          </w:rPr>
          <w:t>infomedios@marval.com.co</w:t>
        </w:r>
      </w:hyperlink>
      <w:r w:rsidR="00B6539A" w:rsidRPr="006E1CD3">
        <w:rPr>
          <w:rFonts w:ascii="Arial" w:eastAsia="Arial" w:hAnsi="Arial" w:cs="Arial"/>
          <w:sz w:val="22"/>
          <w:szCs w:val="22"/>
        </w:rPr>
        <w:t xml:space="preserve"> de acuerdo</w:t>
      </w:r>
      <w:r w:rsidR="003F0459" w:rsidRPr="006E1CD3">
        <w:rPr>
          <w:rFonts w:ascii="Arial" w:eastAsia="Arial" w:hAnsi="Arial" w:cs="Arial"/>
          <w:sz w:val="22"/>
          <w:szCs w:val="22"/>
        </w:rPr>
        <w:t xml:space="preserve"> a la autorización de notificación electrónica con radicado 1-</w:t>
      </w:r>
      <w:r w:rsidR="00076FEA" w:rsidRPr="006E1CD3">
        <w:rPr>
          <w:rFonts w:ascii="Arial" w:eastAsia="Arial" w:hAnsi="Arial" w:cs="Arial"/>
          <w:sz w:val="22"/>
          <w:szCs w:val="22"/>
        </w:rPr>
        <w:t>2020-20797 del 28 de agosto de 2020; o</w:t>
      </w:r>
      <w:r w:rsidRPr="006E1CD3">
        <w:rPr>
          <w:rFonts w:ascii="Arial" w:eastAsia="Arial" w:hAnsi="Arial" w:cs="Arial"/>
          <w:sz w:val="22"/>
          <w:szCs w:val="22"/>
        </w:rPr>
        <w:t xml:space="preserve"> en su defecto, de conformidad con las normas previstas en la ley 1437 de 2011. </w:t>
      </w:r>
    </w:p>
    <w:p w14:paraId="693D2231" w14:textId="77777777" w:rsidR="003A3646" w:rsidRPr="006E1CD3" w:rsidRDefault="003A3646">
      <w:pPr>
        <w:pBdr>
          <w:top w:val="nil"/>
          <w:left w:val="nil"/>
          <w:bottom w:val="nil"/>
          <w:right w:val="nil"/>
          <w:between w:val="nil"/>
        </w:pBdr>
        <w:jc w:val="both"/>
        <w:rPr>
          <w:rFonts w:ascii="Arial" w:eastAsia="Arial" w:hAnsi="Arial" w:cs="Arial"/>
          <w:b/>
          <w:bCs/>
          <w:sz w:val="22"/>
          <w:szCs w:val="22"/>
          <w:highlight w:val="white"/>
        </w:rPr>
      </w:pPr>
    </w:p>
    <w:p w14:paraId="693D2232" w14:textId="414EC945" w:rsidR="003A3646" w:rsidRPr="006E1CD3" w:rsidRDefault="005A2B48">
      <w:pPr>
        <w:pBdr>
          <w:top w:val="nil"/>
          <w:left w:val="nil"/>
          <w:bottom w:val="nil"/>
          <w:right w:val="nil"/>
          <w:between w:val="nil"/>
        </w:pBdr>
        <w:jc w:val="both"/>
        <w:rPr>
          <w:rFonts w:ascii="Arial" w:eastAsia="Arial" w:hAnsi="Arial" w:cs="Arial"/>
          <w:sz w:val="22"/>
          <w:szCs w:val="22"/>
        </w:rPr>
      </w:pPr>
      <w:r w:rsidRPr="006E1CD3">
        <w:rPr>
          <w:rFonts w:ascii="Arial" w:eastAsia="Arial" w:hAnsi="Arial" w:cs="Arial"/>
          <w:b/>
          <w:bCs/>
          <w:sz w:val="22"/>
          <w:szCs w:val="22"/>
          <w:highlight w:val="white"/>
        </w:rPr>
        <w:t>QUINTO</w:t>
      </w:r>
      <w:r w:rsidRPr="006E1CD3">
        <w:rPr>
          <w:rFonts w:ascii="Arial" w:eastAsia="Arial" w:hAnsi="Arial" w:cs="Arial"/>
          <w:b/>
          <w:bCs/>
          <w:sz w:val="22"/>
          <w:szCs w:val="22"/>
        </w:rPr>
        <w:t>:</w:t>
      </w:r>
      <w:r w:rsidRPr="006E1CD3">
        <w:rPr>
          <w:rFonts w:ascii="Arial" w:eastAsia="Arial" w:hAnsi="Arial" w:cs="Arial"/>
          <w:sz w:val="22"/>
          <w:szCs w:val="22"/>
        </w:rPr>
        <w:t xml:space="preserve"> Notificar el contenido de esta Resolución al </w:t>
      </w:r>
      <w:r w:rsidR="00FD5984">
        <w:rPr>
          <w:rFonts w:ascii="Arial" w:eastAsia="Arial" w:hAnsi="Arial" w:cs="Arial"/>
          <w:sz w:val="22"/>
          <w:szCs w:val="22"/>
        </w:rPr>
        <w:t xml:space="preserve">propietario </w:t>
      </w:r>
      <w:r w:rsidR="00FD5984" w:rsidRPr="00FD5984">
        <w:rPr>
          <w:rFonts w:ascii="Arial" w:eastAsia="Arial" w:hAnsi="Arial" w:cs="Arial"/>
          <w:sz w:val="22"/>
          <w:szCs w:val="22"/>
        </w:rPr>
        <w:t>apartamento 132 de la torre 10</w:t>
      </w:r>
      <w:r w:rsidRPr="006E1CD3">
        <w:rPr>
          <w:rFonts w:ascii="Arial" w:eastAsia="Arial" w:hAnsi="Arial" w:cs="Arial"/>
          <w:sz w:val="22"/>
          <w:szCs w:val="22"/>
        </w:rPr>
        <w:t xml:space="preserve"> (o quien haga sus veces) del proyecto de vivienda AGRUPACIÓN RESIDENCIAL PRADERA DE SAN CARLOS - PROPIEDAD HORIZONTAL, para lo cual deberá enviarse citación para notificación personal a la </w:t>
      </w:r>
      <w:r w:rsidRPr="00FD5984">
        <w:rPr>
          <w:rFonts w:ascii="Arial" w:eastAsia="Arial" w:hAnsi="Arial" w:cs="Arial"/>
          <w:sz w:val="22"/>
          <w:szCs w:val="22"/>
        </w:rPr>
        <w:t>Carrera 11</w:t>
      </w:r>
      <w:r w:rsidR="00FD5984" w:rsidRPr="00FD5984">
        <w:rPr>
          <w:rFonts w:ascii="Arial" w:eastAsia="Arial" w:hAnsi="Arial" w:cs="Arial"/>
          <w:sz w:val="22"/>
          <w:szCs w:val="22"/>
        </w:rPr>
        <w:t xml:space="preserve"> </w:t>
      </w:r>
      <w:r w:rsidRPr="00FD5984">
        <w:rPr>
          <w:rFonts w:ascii="Arial" w:eastAsia="Arial" w:hAnsi="Arial" w:cs="Arial"/>
          <w:sz w:val="22"/>
          <w:szCs w:val="22"/>
        </w:rPr>
        <w:t>A No. 190</w:t>
      </w:r>
      <w:r w:rsidR="00FD5984">
        <w:rPr>
          <w:rFonts w:ascii="Arial" w:eastAsia="Arial" w:hAnsi="Arial" w:cs="Arial"/>
          <w:sz w:val="22"/>
          <w:szCs w:val="22"/>
        </w:rPr>
        <w:t xml:space="preserve"> </w:t>
      </w:r>
      <w:r w:rsidRPr="00FD5984">
        <w:rPr>
          <w:rFonts w:ascii="Arial" w:eastAsia="Arial" w:hAnsi="Arial" w:cs="Arial"/>
          <w:sz w:val="22"/>
          <w:szCs w:val="22"/>
        </w:rPr>
        <w:t>-</w:t>
      </w:r>
      <w:r w:rsidR="00FD5984">
        <w:rPr>
          <w:rFonts w:ascii="Arial" w:eastAsia="Arial" w:hAnsi="Arial" w:cs="Arial"/>
          <w:sz w:val="22"/>
          <w:szCs w:val="22"/>
        </w:rPr>
        <w:t xml:space="preserve"> </w:t>
      </w:r>
      <w:r w:rsidRPr="00FD5984">
        <w:rPr>
          <w:rFonts w:ascii="Arial" w:eastAsia="Arial" w:hAnsi="Arial" w:cs="Arial"/>
          <w:sz w:val="22"/>
          <w:szCs w:val="22"/>
        </w:rPr>
        <w:t>46</w:t>
      </w:r>
      <w:r w:rsidR="00FD5984" w:rsidRPr="00FD5984">
        <w:rPr>
          <w:rFonts w:ascii="Arial" w:eastAsia="Arial" w:hAnsi="Arial" w:cs="Arial"/>
          <w:sz w:val="22"/>
          <w:szCs w:val="22"/>
        </w:rPr>
        <w:t xml:space="preserve"> apartamento 132 de la torre 10</w:t>
      </w:r>
      <w:r w:rsidRPr="006E1CD3">
        <w:rPr>
          <w:rFonts w:ascii="Arial" w:eastAsia="Arial" w:hAnsi="Arial" w:cs="Arial"/>
          <w:sz w:val="22"/>
          <w:szCs w:val="22"/>
        </w:rPr>
        <w:t>; o, en su defecto, de conformidad con las normas de notificación previstas en la Ley 1437 de 2011.</w:t>
      </w:r>
    </w:p>
    <w:p w14:paraId="693D2233" w14:textId="77777777" w:rsidR="003A3646" w:rsidRPr="006E1CD3" w:rsidRDefault="003A3646">
      <w:pPr>
        <w:widowControl w:val="0"/>
        <w:jc w:val="both"/>
        <w:rPr>
          <w:rFonts w:ascii="Arial" w:eastAsia="Arial" w:hAnsi="Arial" w:cs="Arial"/>
          <w:b/>
          <w:bCs/>
          <w:sz w:val="22"/>
          <w:szCs w:val="22"/>
        </w:rPr>
      </w:pPr>
    </w:p>
    <w:p w14:paraId="693D2234" w14:textId="77777777" w:rsidR="003A3646" w:rsidRPr="006E1CD3" w:rsidRDefault="005A2B48">
      <w:pPr>
        <w:widowControl w:val="0"/>
        <w:jc w:val="both"/>
        <w:rPr>
          <w:rFonts w:ascii="Arial" w:eastAsia="Arial" w:hAnsi="Arial" w:cs="Arial"/>
          <w:sz w:val="22"/>
          <w:szCs w:val="22"/>
        </w:rPr>
      </w:pPr>
      <w:r w:rsidRPr="006E1CD3">
        <w:rPr>
          <w:rFonts w:ascii="Arial" w:eastAsia="Arial" w:hAnsi="Arial" w:cs="Arial"/>
          <w:b/>
          <w:bCs/>
          <w:sz w:val="22"/>
          <w:szCs w:val="22"/>
        </w:rPr>
        <w:t xml:space="preserve">ARTÍCULO SEXTO: </w:t>
      </w:r>
      <w:r w:rsidRPr="006E1CD3">
        <w:rPr>
          <w:rFonts w:ascii="Arial" w:eastAsia="Arial" w:hAnsi="Arial" w:cs="Arial"/>
          <w:sz w:val="22"/>
          <w:szCs w:val="22"/>
        </w:rPr>
        <w:t xml:space="preserve">Contra la presente Resolución procede el recurso de reposición ante </w:t>
      </w:r>
      <w:r w:rsidRPr="006E1CD3">
        <w:rPr>
          <w:rFonts w:ascii="Arial" w:eastAsia="Arial" w:hAnsi="Arial" w:cs="Arial"/>
          <w:sz w:val="22"/>
          <w:szCs w:val="22"/>
        </w:rPr>
        <w:lastRenderedPageBreak/>
        <w:t>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693D2235" w14:textId="77777777" w:rsidR="003A3646" w:rsidRPr="006E1CD3" w:rsidRDefault="003A3646">
      <w:pPr>
        <w:widowControl w:val="0"/>
        <w:jc w:val="both"/>
        <w:rPr>
          <w:rFonts w:ascii="Arial" w:eastAsia="Arial" w:hAnsi="Arial" w:cs="Arial"/>
          <w:sz w:val="22"/>
          <w:szCs w:val="22"/>
        </w:rPr>
      </w:pPr>
    </w:p>
    <w:p w14:paraId="693D2236" w14:textId="77777777" w:rsidR="003A3646" w:rsidRPr="006E1CD3" w:rsidRDefault="005A2B48">
      <w:pPr>
        <w:jc w:val="both"/>
        <w:rPr>
          <w:rFonts w:ascii="Arial" w:eastAsia="Arial" w:hAnsi="Arial" w:cs="Arial"/>
          <w:sz w:val="22"/>
          <w:szCs w:val="22"/>
        </w:rPr>
      </w:pPr>
      <w:r w:rsidRPr="006E1CD3">
        <w:rPr>
          <w:rFonts w:ascii="Arial" w:eastAsia="Arial" w:hAnsi="Arial" w:cs="Arial"/>
          <w:b/>
          <w:bCs/>
          <w:sz w:val="22"/>
          <w:szCs w:val="22"/>
        </w:rPr>
        <w:t>ARTÍCULO SEPTIMO:</w:t>
      </w:r>
      <w:r w:rsidRPr="006E1CD3">
        <w:rPr>
          <w:rFonts w:ascii="Arial" w:eastAsia="Arial" w:hAnsi="Arial" w:cs="Arial"/>
          <w:sz w:val="22"/>
          <w:szCs w:val="22"/>
        </w:rPr>
        <w:t xml:space="preserve"> La presente Resolución rige a partir de su expedición.</w:t>
      </w:r>
    </w:p>
    <w:p w14:paraId="693D2237" w14:textId="77777777" w:rsidR="003A3646" w:rsidRPr="006E1CD3" w:rsidRDefault="003A3646">
      <w:pPr>
        <w:pBdr>
          <w:top w:val="nil"/>
          <w:left w:val="nil"/>
          <w:bottom w:val="nil"/>
          <w:right w:val="nil"/>
          <w:between w:val="nil"/>
        </w:pBdr>
        <w:jc w:val="both"/>
        <w:rPr>
          <w:rFonts w:ascii="Arial" w:eastAsia="Arial" w:hAnsi="Arial" w:cs="Arial"/>
          <w:b/>
          <w:bCs/>
          <w:sz w:val="22"/>
          <w:szCs w:val="22"/>
          <w:highlight w:val="white"/>
        </w:rPr>
      </w:pPr>
    </w:p>
    <w:p w14:paraId="693D2238" w14:textId="77777777" w:rsidR="003A3646" w:rsidRPr="006E1CD3" w:rsidRDefault="005A2B48">
      <w:pPr>
        <w:widowControl w:val="0"/>
        <w:jc w:val="center"/>
        <w:rPr>
          <w:rFonts w:ascii="Arial" w:eastAsia="Arial" w:hAnsi="Arial" w:cs="Arial"/>
          <w:b/>
          <w:bCs/>
          <w:sz w:val="22"/>
          <w:szCs w:val="22"/>
          <w:highlight w:val="white"/>
        </w:rPr>
      </w:pPr>
      <w:r w:rsidRPr="006E1CD3">
        <w:rPr>
          <w:rFonts w:ascii="Arial" w:eastAsia="Arial" w:hAnsi="Arial" w:cs="Arial"/>
          <w:b/>
          <w:bCs/>
          <w:sz w:val="22"/>
          <w:szCs w:val="22"/>
          <w:highlight w:val="white"/>
        </w:rPr>
        <w:t>NOTIFÍQUESE Y CÚMPLASE.</w:t>
      </w:r>
    </w:p>
    <w:p w14:paraId="693D2239" w14:textId="77777777" w:rsidR="003A3646" w:rsidRPr="006E1CD3" w:rsidRDefault="003A3646">
      <w:pPr>
        <w:rPr>
          <w:rFonts w:ascii="Arial" w:eastAsia="Arial" w:hAnsi="Arial" w:cs="Arial"/>
          <w:b/>
          <w:bCs/>
          <w:sz w:val="22"/>
          <w:szCs w:val="22"/>
        </w:rPr>
      </w:pPr>
    </w:p>
    <w:p w14:paraId="693D223A" w14:textId="77777777" w:rsidR="003A3646" w:rsidRPr="006E1CD3" w:rsidRDefault="003A3646">
      <w:pPr>
        <w:jc w:val="center"/>
        <w:rPr>
          <w:rFonts w:ascii="Arial" w:eastAsia="Arial" w:hAnsi="Arial" w:cs="Arial"/>
          <w:b/>
          <w:bCs/>
          <w:sz w:val="22"/>
          <w:szCs w:val="22"/>
        </w:rPr>
      </w:pPr>
    </w:p>
    <w:p w14:paraId="693D223B" w14:textId="77777777" w:rsidR="003A3646" w:rsidRPr="006E1CD3" w:rsidRDefault="003A3646">
      <w:pPr>
        <w:rPr>
          <w:rFonts w:ascii="Arial" w:eastAsia="Arial" w:hAnsi="Arial" w:cs="Arial"/>
          <w:b/>
          <w:bCs/>
          <w:sz w:val="22"/>
          <w:szCs w:val="22"/>
        </w:rPr>
      </w:pPr>
    </w:p>
    <w:p w14:paraId="693D223C" w14:textId="77777777" w:rsidR="003A3646" w:rsidRPr="006E1CD3" w:rsidRDefault="003A3646">
      <w:pPr>
        <w:jc w:val="center"/>
        <w:rPr>
          <w:rFonts w:ascii="Arial" w:eastAsia="Arial" w:hAnsi="Arial" w:cs="Arial"/>
          <w:b/>
          <w:bCs/>
          <w:sz w:val="22"/>
          <w:szCs w:val="22"/>
        </w:rPr>
      </w:pPr>
    </w:p>
    <w:p w14:paraId="693D223D" w14:textId="77777777" w:rsidR="003A3646" w:rsidRPr="006E1CD3" w:rsidRDefault="005A2B48">
      <w:pPr>
        <w:jc w:val="center"/>
        <w:rPr>
          <w:rFonts w:ascii="Arial" w:eastAsia="Arial" w:hAnsi="Arial" w:cs="Arial"/>
          <w:b/>
          <w:bCs/>
          <w:sz w:val="22"/>
          <w:szCs w:val="22"/>
        </w:rPr>
      </w:pPr>
      <w:r w:rsidRPr="006E1CD3">
        <w:rPr>
          <w:rFonts w:ascii="Arial" w:eastAsia="Arial" w:hAnsi="Arial" w:cs="Arial"/>
          <w:b/>
          <w:bCs/>
          <w:sz w:val="22"/>
          <w:szCs w:val="22"/>
        </w:rPr>
        <w:t>JAZMÍN ROCÍO OROZCO RODRÍGUEZ</w:t>
      </w:r>
    </w:p>
    <w:p w14:paraId="693D223E" w14:textId="77777777" w:rsidR="003A3646" w:rsidRPr="006E1CD3" w:rsidRDefault="005A2B48">
      <w:pPr>
        <w:jc w:val="center"/>
        <w:rPr>
          <w:rFonts w:ascii="Arial" w:eastAsia="Arial" w:hAnsi="Arial" w:cs="Arial"/>
          <w:b/>
          <w:bCs/>
          <w:sz w:val="22"/>
          <w:szCs w:val="22"/>
        </w:rPr>
      </w:pPr>
      <w:r w:rsidRPr="006E1CD3">
        <w:rPr>
          <w:rFonts w:ascii="Arial" w:eastAsia="Arial" w:hAnsi="Arial" w:cs="Arial"/>
          <w:b/>
          <w:bCs/>
          <w:sz w:val="22"/>
          <w:szCs w:val="22"/>
        </w:rPr>
        <w:t>Directora de Investigaciones y Control de Vivienda</w:t>
      </w:r>
    </w:p>
    <w:p w14:paraId="693D223F" w14:textId="77777777" w:rsidR="003A3646" w:rsidRPr="006E1CD3" w:rsidRDefault="003A3646">
      <w:pPr>
        <w:rPr>
          <w:rFonts w:ascii="Arial" w:eastAsia="Arial" w:hAnsi="Arial" w:cs="Arial"/>
          <w:sz w:val="22"/>
          <w:szCs w:val="22"/>
        </w:rPr>
      </w:pPr>
    </w:p>
    <w:p w14:paraId="693D2240" w14:textId="77777777" w:rsidR="003A3646" w:rsidRPr="006E1CD3" w:rsidRDefault="005A2B48">
      <w:pPr>
        <w:pBdr>
          <w:top w:val="nil"/>
          <w:left w:val="nil"/>
          <w:bottom w:val="nil"/>
          <w:right w:val="nil"/>
          <w:between w:val="nil"/>
        </w:pBdr>
        <w:rPr>
          <w:rFonts w:ascii="Arial" w:eastAsia="Arial" w:hAnsi="Arial" w:cs="Arial"/>
          <w:i/>
          <w:iCs/>
          <w:sz w:val="16"/>
          <w:szCs w:val="16"/>
        </w:rPr>
      </w:pPr>
      <w:r w:rsidRPr="006E1CD3">
        <w:rPr>
          <w:rFonts w:ascii="Arial" w:eastAsia="Arial" w:hAnsi="Arial" w:cs="Arial"/>
          <w:i/>
          <w:iCs/>
          <w:sz w:val="16"/>
          <w:szCs w:val="16"/>
        </w:rPr>
        <w:t>Proyectó: Daniel Santiago Cristiano González- Abogado Contratista – DICV</w:t>
      </w:r>
    </w:p>
    <w:p w14:paraId="693D2241" w14:textId="77777777" w:rsidR="003A3646" w:rsidRPr="006E1CD3" w:rsidRDefault="005A2B48">
      <w:pPr>
        <w:pBdr>
          <w:top w:val="nil"/>
          <w:left w:val="nil"/>
          <w:bottom w:val="nil"/>
          <w:right w:val="nil"/>
          <w:between w:val="nil"/>
        </w:pBdr>
        <w:rPr>
          <w:rFonts w:ascii="Arial" w:eastAsia="Arial" w:hAnsi="Arial" w:cs="Arial"/>
          <w:i/>
          <w:iCs/>
          <w:sz w:val="16"/>
          <w:szCs w:val="16"/>
        </w:rPr>
      </w:pPr>
      <w:r w:rsidRPr="006E1CD3">
        <w:rPr>
          <w:rFonts w:ascii="Arial" w:eastAsia="Arial" w:hAnsi="Arial" w:cs="Arial"/>
          <w:i/>
          <w:iCs/>
          <w:sz w:val="16"/>
          <w:szCs w:val="16"/>
        </w:rPr>
        <w:t xml:space="preserve">Revisó: Mauricio Hernández Beltrán – Abogado Contratista – DICV. </w:t>
      </w:r>
    </w:p>
    <w:p w14:paraId="693D2242" w14:textId="77777777" w:rsidR="003A3646" w:rsidRPr="006E1CD3" w:rsidRDefault="003A3646">
      <w:pPr>
        <w:pBdr>
          <w:top w:val="nil"/>
          <w:left w:val="nil"/>
          <w:bottom w:val="nil"/>
          <w:right w:val="nil"/>
          <w:between w:val="nil"/>
        </w:pBdr>
        <w:rPr>
          <w:rFonts w:ascii="Arial" w:eastAsia="Arial" w:hAnsi="Arial" w:cs="Arial"/>
          <w:i/>
          <w:iCs/>
          <w:sz w:val="16"/>
          <w:szCs w:val="16"/>
        </w:rPr>
      </w:pPr>
    </w:p>
    <w:sectPr w:rsidR="003A3646" w:rsidRPr="006E1CD3">
      <w:headerReference w:type="default" r:id="rId12"/>
      <w:footerReference w:type="default" r:id="rId13"/>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60CBE0" w14:textId="77777777" w:rsidR="00A15448" w:rsidRDefault="00A15448">
      <w:r>
        <w:separator/>
      </w:r>
    </w:p>
  </w:endnote>
  <w:endnote w:type="continuationSeparator" w:id="0">
    <w:p w14:paraId="1FCCB305" w14:textId="77777777" w:rsidR="00A15448" w:rsidRDefault="00A154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F24A8317-A34B-406C-B542-BCF5C3C569F2}"/>
  </w:font>
  <w:font w:name="Aptos Display">
    <w:charset w:val="00"/>
    <w:family w:val="swiss"/>
    <w:pitch w:val="variable"/>
    <w:sig w:usb0="20000287" w:usb1="00000003" w:usb2="00000000" w:usb3="00000000" w:csb0="0000019F" w:csb1="00000000"/>
    <w:embedRegular r:id="rId2" w:fontKey="{8D68000E-9CBB-431E-907E-623483FCED89}"/>
  </w:font>
  <w:font w:name="Aptos">
    <w:charset w:val="00"/>
    <w:family w:val="swiss"/>
    <w:pitch w:val="variable"/>
    <w:sig w:usb0="20000287" w:usb1="00000003" w:usb2="00000000" w:usb3="00000000" w:csb0="0000019F" w:csb1="00000000"/>
    <w:embedRegular r:id="rId3" w:fontKey="{6A8D0A1C-0180-42B7-9DAA-1B8A262F203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8C794775-2AD6-41D2-A671-9B8F06771F7D}"/>
    <w:embedBold r:id="rId5" w:fontKey="{9957C573-E57A-47FE-B8A2-330242BC2D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D2249" w14:textId="77777777" w:rsidR="003A3646" w:rsidRDefault="005A2B48">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693D2253" wp14:editId="693D2254">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610"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93D224A" w14:textId="0FB656BE" w:rsidR="003A3646" w:rsidRDefault="005A2B48">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CF2433">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CF2433">
      <w:rPr>
        <w:b/>
        <w:bCs/>
        <w:noProof/>
        <w:color w:val="000000"/>
      </w:rPr>
      <w:t>2</w:t>
    </w:r>
    <w:r>
      <w:rPr>
        <w:b/>
        <w:bCs/>
        <w:color w:val="000000"/>
      </w:rPr>
      <w:fldChar w:fldCharType="end"/>
    </w:r>
  </w:p>
  <w:p w14:paraId="693D224B" w14:textId="77777777" w:rsidR="003A3646" w:rsidRDefault="005A2B48">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93D224C" w14:textId="77777777" w:rsidR="003A3646" w:rsidRDefault="005A2B48">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693D2255" wp14:editId="693D2256">
              <wp:simplePos x="0" y="0"/>
              <wp:positionH relativeFrom="column">
                <wp:posOffset>5160967</wp:posOffset>
              </wp:positionH>
              <wp:positionV relativeFrom="paragraph">
                <wp:posOffset>58738</wp:posOffset>
              </wp:positionV>
              <wp:extent cx="1127124" cy="784859"/>
              <wp:effectExtent l="0" t="0" r="0" b="0"/>
              <wp:wrapSquare wrapText="bothSides" distT="45720" distB="45720" distL="114300" distR="114300"/>
              <wp:docPr id="1725787608" name="Rectángulo 1725787608"/>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693D225A" w14:textId="77777777" w:rsidR="003A3646" w:rsidRDefault="005A2B48">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693D2255" id="Rectángulo 1725787608" o:spid="_x0000_s1026" style="position:absolute;margin-left:406.4pt;margin-top:4.65pt;width:88.75pt;height:61.8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" strokecolor="white [3201]">
              <v:stroke startarrowwidth="narrow" startarrowlength="short" endarrowwidth="narrow" endarrowlength="short"/>
              <v:textbox inset="2.53958mm,1.2694mm,2.53958mm,1.2694mm">
                <w:txbxContent>
                  <w:p w14:paraId="693D225A" w14:textId="77777777" w:rsidR="003A3646" w:rsidRDefault="005A2B48">
                    <w:pPr>
                      <w:jc w:val="center"/>
                      <w:textDirection w:val="btLr"/>
                    </w:pPr>
                    <w:r>
                      <w:rPr>
                        <w:rFonts w:ascii="Arial" w:eastAsia="Arial" w:hAnsi="Arial" w:cs="Arial"/>
                        <w:color w:val="000000"/>
                        <w:sz w:val="14"/>
                      </w:rPr>
                      <w:t>PG02-PL03 V2</w:t>
                    </w:r>
                  </w:p>
                </w:txbxContent>
              </v:textbox>
              <w10:wrap type="square"/>
            </v:rect>
          </w:pict>
        </mc:Fallback>
      </mc:AlternateContent>
    </w:r>
  </w:p>
  <w:p w14:paraId="693D224D" w14:textId="77777777" w:rsidR="003A3646" w:rsidRDefault="005A2B48">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693D224E" w14:textId="77777777" w:rsidR="003A3646" w:rsidRPr="00FE38D3" w:rsidRDefault="005A2B48">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FE38D3">
      <w:rPr>
        <w:rFonts w:ascii="Arial" w:eastAsia="Arial" w:hAnsi="Arial" w:cs="Arial"/>
        <w:color w:val="000000"/>
        <w:sz w:val="16"/>
        <w:szCs w:val="16"/>
        <w:lang w:val="pt-PT"/>
      </w:rPr>
      <w:t xml:space="preserve">Código Postal: 110231 </w:t>
    </w:r>
  </w:p>
  <w:p w14:paraId="693D224F" w14:textId="77777777" w:rsidR="003A3646" w:rsidRPr="00FE38D3" w:rsidRDefault="005A2B48">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FE38D3">
        <w:rPr>
          <w:rFonts w:ascii="Arial" w:eastAsia="Arial" w:hAnsi="Arial" w:cs="Arial"/>
          <w:color w:val="0000FF"/>
          <w:sz w:val="16"/>
          <w:szCs w:val="16"/>
          <w:u w:val="single"/>
          <w:lang w:val="pt-PT"/>
        </w:rPr>
        <w:t>www.habitatbogota.gov.co</w:t>
      </w:r>
    </w:hyperlink>
    <w:r w:rsidRPr="00FE38D3">
      <w:rPr>
        <w:rFonts w:ascii="Arial" w:eastAsia="Arial" w:hAnsi="Arial" w:cs="Arial"/>
        <w:color w:val="000000"/>
        <w:sz w:val="16"/>
        <w:szCs w:val="16"/>
        <w:lang w:val="pt-PT"/>
      </w:rPr>
      <w:t xml:space="preserve">                 </w:t>
    </w:r>
  </w:p>
  <w:p w14:paraId="693D2250" w14:textId="77777777" w:rsidR="003A3646" w:rsidRPr="00FE38D3" w:rsidRDefault="003A3646">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4FCA09" w14:textId="77777777" w:rsidR="00A15448" w:rsidRDefault="00A15448">
      <w:r>
        <w:separator/>
      </w:r>
    </w:p>
  </w:footnote>
  <w:footnote w:type="continuationSeparator" w:id="0">
    <w:p w14:paraId="4E03EDD7" w14:textId="77777777" w:rsidR="00A15448" w:rsidRDefault="00A15448">
      <w:r>
        <w:continuationSeparator/>
      </w:r>
    </w:p>
  </w:footnote>
  <w:footnote w:id="1">
    <w:p w14:paraId="693D2257" w14:textId="77777777" w:rsidR="003A3646" w:rsidRDefault="005A2B48">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693D2258" w14:textId="77777777" w:rsidR="003A3646" w:rsidRDefault="005A2B48">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693D2259" w14:textId="77777777" w:rsidR="003A3646" w:rsidRDefault="005A2B48">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D2243" w14:textId="77777777" w:rsidR="003A3646" w:rsidRDefault="003A3646">
    <w:pPr>
      <w:rPr>
        <w:b/>
        <w:bCs/>
        <w:sz w:val="22"/>
        <w:szCs w:val="22"/>
      </w:rPr>
    </w:pPr>
    <w:bookmarkStart w:id="11" w:name="_heading=h.g0ck6mntm1z9" w:colFirst="0" w:colLast="0"/>
    <w:bookmarkEnd w:id="11"/>
  </w:p>
  <w:p w14:paraId="693D2244" w14:textId="77777777" w:rsidR="003A3646" w:rsidRDefault="003A3646">
    <w:pPr>
      <w:rPr>
        <w:b/>
        <w:bCs/>
        <w:sz w:val="22"/>
        <w:szCs w:val="22"/>
      </w:rPr>
    </w:pPr>
  </w:p>
  <w:p w14:paraId="693D2245" w14:textId="77777777" w:rsidR="003A3646" w:rsidRDefault="003A3646">
    <w:pPr>
      <w:rPr>
        <w:b/>
        <w:bCs/>
        <w:sz w:val="22"/>
        <w:szCs w:val="22"/>
      </w:rPr>
    </w:pPr>
  </w:p>
  <w:p w14:paraId="693D2246" w14:textId="77777777" w:rsidR="003A3646" w:rsidRDefault="005A2B48">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693D2247" w14:textId="77777777" w:rsidR="003A3646" w:rsidRDefault="005A2B48">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693D2248" w14:textId="77777777" w:rsidR="003A3646" w:rsidRDefault="005A2B48">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693D2251" wp14:editId="693D2252">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60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67B4C"/>
    <w:multiLevelType w:val="hybridMultilevel"/>
    <w:tmpl w:val="DB2A79B6"/>
    <w:lvl w:ilvl="0" w:tplc="1904098E">
      <w:start w:val="1"/>
      <w:numFmt w:val="decimal"/>
      <w:lvlText w:val="%1."/>
      <w:lvlJc w:val="left"/>
      <w:pPr>
        <w:ind w:left="700" w:hanging="360"/>
      </w:pPr>
      <w:rPr>
        <w:rFonts w:hint="default"/>
      </w:rPr>
    </w:lvl>
    <w:lvl w:ilvl="1" w:tplc="240A0019" w:tentative="1">
      <w:start w:val="1"/>
      <w:numFmt w:val="lowerLetter"/>
      <w:lvlText w:val="%2."/>
      <w:lvlJc w:val="left"/>
      <w:pPr>
        <w:ind w:left="1420" w:hanging="360"/>
      </w:pPr>
    </w:lvl>
    <w:lvl w:ilvl="2" w:tplc="240A001B" w:tentative="1">
      <w:start w:val="1"/>
      <w:numFmt w:val="lowerRoman"/>
      <w:lvlText w:val="%3."/>
      <w:lvlJc w:val="right"/>
      <w:pPr>
        <w:ind w:left="2140" w:hanging="180"/>
      </w:pPr>
    </w:lvl>
    <w:lvl w:ilvl="3" w:tplc="240A000F" w:tentative="1">
      <w:start w:val="1"/>
      <w:numFmt w:val="decimal"/>
      <w:lvlText w:val="%4."/>
      <w:lvlJc w:val="left"/>
      <w:pPr>
        <w:ind w:left="2860" w:hanging="360"/>
      </w:pPr>
    </w:lvl>
    <w:lvl w:ilvl="4" w:tplc="240A0019" w:tentative="1">
      <w:start w:val="1"/>
      <w:numFmt w:val="lowerLetter"/>
      <w:lvlText w:val="%5."/>
      <w:lvlJc w:val="left"/>
      <w:pPr>
        <w:ind w:left="3580" w:hanging="360"/>
      </w:pPr>
    </w:lvl>
    <w:lvl w:ilvl="5" w:tplc="240A001B" w:tentative="1">
      <w:start w:val="1"/>
      <w:numFmt w:val="lowerRoman"/>
      <w:lvlText w:val="%6."/>
      <w:lvlJc w:val="right"/>
      <w:pPr>
        <w:ind w:left="4300" w:hanging="180"/>
      </w:pPr>
    </w:lvl>
    <w:lvl w:ilvl="6" w:tplc="240A000F" w:tentative="1">
      <w:start w:val="1"/>
      <w:numFmt w:val="decimal"/>
      <w:lvlText w:val="%7."/>
      <w:lvlJc w:val="left"/>
      <w:pPr>
        <w:ind w:left="5020" w:hanging="360"/>
      </w:pPr>
    </w:lvl>
    <w:lvl w:ilvl="7" w:tplc="240A0019" w:tentative="1">
      <w:start w:val="1"/>
      <w:numFmt w:val="lowerLetter"/>
      <w:lvlText w:val="%8."/>
      <w:lvlJc w:val="left"/>
      <w:pPr>
        <w:ind w:left="5740" w:hanging="360"/>
      </w:pPr>
    </w:lvl>
    <w:lvl w:ilvl="8" w:tplc="240A001B" w:tentative="1">
      <w:start w:val="1"/>
      <w:numFmt w:val="lowerRoman"/>
      <w:lvlText w:val="%9."/>
      <w:lvlJc w:val="right"/>
      <w:pPr>
        <w:ind w:left="6460" w:hanging="180"/>
      </w:pPr>
    </w:lvl>
  </w:abstractNum>
  <w:num w:numId="1" w16cid:durableId="14865117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3646"/>
    <w:rsid w:val="00076FEA"/>
    <w:rsid w:val="00150924"/>
    <w:rsid w:val="00161B35"/>
    <w:rsid w:val="001A0E82"/>
    <w:rsid w:val="001A7BD1"/>
    <w:rsid w:val="00206427"/>
    <w:rsid w:val="002767DC"/>
    <w:rsid w:val="003A3646"/>
    <w:rsid w:val="003F0459"/>
    <w:rsid w:val="00426EBF"/>
    <w:rsid w:val="00463401"/>
    <w:rsid w:val="00486704"/>
    <w:rsid w:val="004E279F"/>
    <w:rsid w:val="005A2B48"/>
    <w:rsid w:val="005C7B17"/>
    <w:rsid w:val="005E5257"/>
    <w:rsid w:val="006E1CD3"/>
    <w:rsid w:val="006F637D"/>
    <w:rsid w:val="00721F77"/>
    <w:rsid w:val="0074470D"/>
    <w:rsid w:val="007532F6"/>
    <w:rsid w:val="00762758"/>
    <w:rsid w:val="007B63BC"/>
    <w:rsid w:val="008354F9"/>
    <w:rsid w:val="008A3464"/>
    <w:rsid w:val="009045FA"/>
    <w:rsid w:val="009047E7"/>
    <w:rsid w:val="00960FB3"/>
    <w:rsid w:val="009C47ED"/>
    <w:rsid w:val="009F1340"/>
    <w:rsid w:val="00A15448"/>
    <w:rsid w:val="00A233FD"/>
    <w:rsid w:val="00A24DD1"/>
    <w:rsid w:val="00B442A7"/>
    <w:rsid w:val="00B6539A"/>
    <w:rsid w:val="00B740E2"/>
    <w:rsid w:val="00BC32B0"/>
    <w:rsid w:val="00BF6FEC"/>
    <w:rsid w:val="00C558B5"/>
    <w:rsid w:val="00C64AA0"/>
    <w:rsid w:val="00CD1A8D"/>
    <w:rsid w:val="00CF2433"/>
    <w:rsid w:val="00D23782"/>
    <w:rsid w:val="00D6640C"/>
    <w:rsid w:val="00E056A7"/>
    <w:rsid w:val="00E91562"/>
    <w:rsid w:val="00EE35FA"/>
    <w:rsid w:val="00F04A78"/>
    <w:rsid w:val="00FD5984"/>
    <w:rsid w:val="00FE38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3D2185"/>
  <w15:docId w15:val="{4ACD7ACF-C9FF-4ABA-938C-1321C6EBA4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dane.gov.co/"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medios@marval.com.c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ventanilladecorrespondencia@habitatbogota.gov.co" TargetMode="External"/><Relationship Id="rId4" Type="http://schemas.openxmlformats.org/officeDocument/2006/relationships/settings" Target="settings.xml"/><Relationship Id="rId9" Type="http://schemas.openxmlformats.org/officeDocument/2006/relationships/hyperlink" Target="mailto:cobropersuasivo@habitatbogota.gov.co"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i6elqkBjrWgkW5u7dC2mu8qmQ==">CgMxLjAyDmguNjN1OXh6bWtxenZzMg5oLnR6aWliOG1qdTk0ODIOaC52bXE1amxzeWxjamgyDmguNG00cTZiMXRqZ3ZnMg5oLnYzaXhzeHY4aXZyZzINaC5rb3VkdGR1N283czIOaC5nMHpqOGlkZGRkMTkyDmguZ2dybWN4cDJ3enJ3Mg1oLjRvc242Y2FjN3o1Mg5oLmI4a29ycHlwMGhqeTIJaC4xdDNoNXNmMg5oLmcwY2s2bW50bTF6OTgAciExc0FzaldZcjlBT0pleU4zMURNcFg3ZUJvQUhVTFd2ZH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5509</Words>
  <Characters>30304</Characters>
  <Application>Microsoft Office Word</Application>
  <DocSecurity>0</DocSecurity>
  <Lines>252</Lines>
  <Paragraphs>71</Paragraphs>
  <ScaleCrop>false</ScaleCrop>
  <Company/>
  <LinksUpToDate>false</LinksUpToDate>
  <CharactersWithSpaces>35742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2026-04-07T15:38:00Z</dcterms:created>
  <dcterms:modified xsi:type="dcterms:W3CDTF">2026-04-07T15:38:00Z</dcterms:modified>
</cp:coreProperties>
</file>